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20"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6-K</w:t>
      </w:r>
    </w:p>
    <w:p>
      <w:pPr>
        <w:spacing w:after="0" w:line="243" w:lineRule="exact"/>
        <w:rPr>
          <w:sz w:val="24"/>
          <w:szCs w:val="24"/>
          <w:color w:val="auto"/>
        </w:rPr>
      </w:pPr>
    </w:p>
    <w:p>
      <w:pPr>
        <w:ind w:left="290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5" w:lineRule="exact"/>
        <w:rPr>
          <w:sz w:val="24"/>
          <w:szCs w:val="24"/>
          <w:color w:val="auto"/>
        </w:rPr>
      </w:pPr>
    </w:p>
    <w:p>
      <w:pPr>
        <w:ind w:left="240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jc w:val="center"/>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1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Long Form of Press Release</w:t>
      </w:r>
    </w:p>
    <w:p>
      <w:pPr>
        <w:spacing w:after="0" w:line="25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2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2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22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2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3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1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P.O. Box 0819-08730</w:t>
      </w:r>
    </w:p>
    <w:p>
      <w:pPr>
        <w:jc w:val="center"/>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20" w:lineRule="exact"/>
        <w:rPr>
          <w:sz w:val="24"/>
          <w:szCs w:val="24"/>
          <w:color w:val="auto"/>
        </w:rPr>
      </w:pPr>
    </w:p>
    <w:p>
      <w:pPr>
        <w:jc w:val="center"/>
        <w:ind w:left="40" w:right="59"/>
        <w:spacing w:after="0" w:line="270" w:lineRule="auto"/>
        <w:rPr>
          <w:sz w:val="20"/>
          <w:szCs w:val="20"/>
          <w:color w:val="auto"/>
        </w:rPr>
      </w:pPr>
      <w:r>
        <w:rPr>
          <w:rFonts w:ascii="Times New Roman" w:cs="Times New Roman" w:eastAsia="Times New Roman" w:hAnsi="Times New Roman"/>
          <w:sz w:val="18"/>
          <w:szCs w:val="18"/>
          <w:color w:val="auto"/>
        </w:rPr>
        <w:t xml:space="preserve">Indicate by check mark whether the registrant files or will file annual reports under cover of Form 20-F or Form 40-F. Form 20-F </w:t>
      </w:r>
      <w:r>
        <w:rPr>
          <w:rFonts w:ascii="Arial" w:cs="Arial" w:eastAsia="Arial" w:hAnsi="Arial"/>
          <w:sz w:val="18"/>
          <w:szCs w:val="18"/>
          <w:color w:val="auto"/>
        </w:rPr>
        <w:t>x</w:t>
      </w:r>
      <w:r>
        <w:rPr>
          <w:rFonts w:ascii="Times New Roman" w:cs="Times New Roman" w:eastAsia="Times New Roman" w:hAnsi="Times New Roman"/>
          <w:sz w:val="18"/>
          <w:szCs w:val="18"/>
          <w:color w:val="auto"/>
        </w:rPr>
        <w:t xml:space="preserve"> Form 40-F </w:t>
      </w:r>
      <w:r>
        <w:rPr>
          <w:rFonts w:ascii="Arial" w:cs="Arial" w:eastAsia="Arial" w:hAnsi="Arial"/>
          <w:sz w:val="18"/>
          <w:szCs w:val="18"/>
          <w:color w:val="auto"/>
        </w:rPr>
        <w:t>o</w:t>
      </w:r>
    </w:p>
    <w:p>
      <w:pPr>
        <w:spacing w:after="0" w:line="18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2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w:t>
      </w:r>
      <w:r>
        <w:rPr>
          <w:rFonts w:ascii="Arial" w:cs="Arial" w:eastAsia="Arial" w:hAnsi="Arial"/>
          <w:sz w:val="18"/>
          <w:szCs w:val="18"/>
          <w:color w:val="auto"/>
        </w:rPr>
        <w:t>o</w:t>
      </w:r>
      <w:r>
        <w:rPr>
          <w:rFonts w:ascii="Times New Roman" w:cs="Times New Roman" w:eastAsia="Times New Roman" w:hAnsi="Times New Roman"/>
          <w:sz w:val="18"/>
          <w:szCs w:val="18"/>
          <w:color w:val="auto"/>
        </w:rPr>
        <w:t xml:space="preserve"> No </w:t>
      </w:r>
      <w:r>
        <w:rPr>
          <w:rFonts w:ascii="Arial" w:cs="Arial" w:eastAsia="Arial" w:hAnsi="Arial"/>
          <w:sz w:val="18"/>
          <w:szCs w:val="18"/>
          <w:color w:val="auto"/>
        </w:rPr>
        <w:t>x</w:t>
      </w:r>
    </w:p>
    <w:p>
      <w:pPr>
        <w:spacing w:after="0" w:line="220"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w:t>
      </w:r>
      <w:r>
        <w:rPr>
          <w:rFonts w:ascii="Arial" w:cs="Arial" w:eastAsia="Arial" w:hAnsi="Arial"/>
          <w:sz w:val="18"/>
          <w:szCs w:val="18"/>
          <w:color w:val="auto"/>
        </w:rPr>
        <w:t>o</w:t>
      </w:r>
      <w:r>
        <w:rPr>
          <w:rFonts w:ascii="Times New Roman" w:cs="Times New Roman" w:eastAsia="Times New Roman" w:hAnsi="Times New Roman"/>
          <w:sz w:val="18"/>
          <w:szCs w:val="18"/>
          <w:color w:val="auto"/>
        </w:rPr>
        <w:t xml:space="preserve"> No </w:t>
      </w:r>
      <w:r>
        <w:rPr>
          <w:rFonts w:ascii="Arial" w:cs="Arial" w:eastAsia="Arial" w:hAnsi="Arial"/>
          <w:sz w:val="18"/>
          <w:szCs w:val="18"/>
          <w:color w:val="auto"/>
        </w:rPr>
        <w:t>x</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-705485</wp:posOffset>
            </wp:positionH>
            <wp:positionV relativeFrom="paragraph">
              <wp:posOffset>211455</wp:posOffset>
            </wp:positionV>
            <wp:extent cx="7132320" cy="171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17145"/>
                    </a:xfrm>
                    <a:prstGeom prst="rect">
                      <a:avLst/>
                    </a:prstGeom>
                    <a:noFill/>
                  </pic:spPr>
                </pic:pic>
              </a:graphicData>
            </a:graphic>
          </wp:anchor>
        </w:drawing>
        <w:drawing>
          <wp:anchor simplePos="0" relativeHeight="251657728" behindDoc="1" locked="0" layoutInCell="0" allowOverlap="1">
            <wp:simplePos x="0" y="0"/>
            <wp:positionH relativeFrom="column">
              <wp:posOffset>-705485</wp:posOffset>
            </wp:positionH>
            <wp:positionV relativeFrom="paragraph">
              <wp:posOffset>177165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019"/>
          </w:cols>
          <w:pgMar w:left="1440" w:top="1278"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0" w:lineRule="exact"/>
        <w:rPr>
          <w:sz w:val="20"/>
          <w:szCs w:val="20"/>
          <w:color w:val="auto"/>
        </w:rPr>
      </w:pPr>
    </w:p>
    <w:p>
      <w:pPr>
        <w:ind w:firstLine="648"/>
        <w:spacing w:after="0" w:line="258"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250"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8"/>
          <w:szCs w:val="18"/>
          <w:color w:val="auto"/>
        </w:rPr>
        <w:t>Date:  May 6, 2022</w:t>
      </w:r>
    </w:p>
    <w:p>
      <w:pPr>
        <w:spacing w:after="0" w:line="5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50"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18"/>
          <w:szCs w:val="18"/>
          <w:color w:val="auto"/>
        </w:rPr>
        <w:t>(Registrant)</w:t>
      </w:r>
    </w:p>
    <w:p>
      <w:pPr>
        <w:spacing w:after="0" w:line="306" w:lineRule="exact"/>
        <w:rPr>
          <w:sz w:val="20"/>
          <w:szCs w:val="20"/>
          <w:color w:val="auto"/>
        </w:rPr>
      </w:pPr>
    </w:p>
    <w:tbl>
      <w:tblPr>
        <w:tblLayout w:type="fixed"/>
        <w:tblInd w:w="120" w:type="dxa"/>
        <w:tblCellMar>
          <w:top w:w="0" w:type="dxa"/>
          <w:left w:w="0" w:type="dxa"/>
          <w:bottom w:w="0" w:type="dxa"/>
          <w:right w:w="0" w:type="dxa"/>
        </w:tblCellMar>
      </w:tblPr>
      <w:tr>
        <w:trPr>
          <w:trHeight w:val="241"/>
        </w:trPr>
        <w:tc>
          <w:tcPr>
            <w:tcW w:w="4280" w:type="dxa"/>
            <w:vAlign w:val="bottom"/>
          </w:tcPr>
          <w:p>
            <w:pPr>
              <w:ind w:left="3760"/>
              <w:spacing w:after="0"/>
              <w:rPr>
                <w:sz w:val="20"/>
                <w:szCs w:val="20"/>
                <w:color w:val="auto"/>
              </w:rPr>
            </w:pPr>
            <w:r>
              <w:rPr>
                <w:rFonts w:ascii="Times New Roman" w:cs="Times New Roman" w:eastAsia="Times New Roman" w:hAnsi="Times New Roman"/>
                <w:sz w:val="18"/>
                <w:szCs w:val="18"/>
                <w:color w:val="auto"/>
              </w:rPr>
              <w:t>By:</w:t>
            </w:r>
          </w:p>
        </w:tc>
        <w:tc>
          <w:tcPr>
            <w:tcW w:w="920" w:type="dxa"/>
            <w:vAlign w:val="bottom"/>
          </w:tcPr>
          <w:p>
            <w:pPr>
              <w:spacing w:after="0"/>
              <w:rPr>
                <w:sz w:val="20"/>
                <w:szCs w:val="20"/>
                <w:color w:val="auto"/>
              </w:rPr>
            </w:pPr>
          </w:p>
        </w:tc>
        <w:tc>
          <w:tcPr>
            <w:tcW w:w="590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/s/ Ana Graciela de Mndez</w:t>
            </w:r>
          </w:p>
        </w:tc>
      </w:tr>
      <w:tr>
        <w:trPr>
          <w:trHeight w:val="364"/>
        </w:trPr>
        <w:tc>
          <w:tcPr>
            <w:tcW w:w="4280" w:type="dxa"/>
            <w:vAlign w:val="bottom"/>
          </w:tcPr>
          <w:p>
            <w:pPr>
              <w:spacing w:after="0"/>
              <w:rPr>
                <w:sz w:val="20"/>
                <w:szCs w:val="20"/>
                <w:color w:val="auto"/>
              </w:rPr>
            </w:pPr>
            <w:r>
              <w:rPr>
                <w:rFonts w:ascii="Times New Roman" w:cs="Times New Roman" w:eastAsia="Times New Roman" w:hAnsi="Times New Roman"/>
                <w:sz w:val="18"/>
                <w:szCs w:val="18"/>
                <w:color w:val="auto"/>
              </w:rPr>
              <w:t>Name:</w:t>
            </w:r>
          </w:p>
        </w:tc>
        <w:tc>
          <w:tcPr>
            <w:tcW w:w="6820" w:type="dxa"/>
            <w:vAlign w:val="bottom"/>
            <w:gridSpan w:val="2"/>
          </w:tcPr>
          <w:p>
            <w:pPr>
              <w:ind w:left="260"/>
              <w:spacing w:after="0"/>
              <w:rPr>
                <w:sz w:val="20"/>
                <w:szCs w:val="20"/>
                <w:color w:val="auto"/>
              </w:rPr>
            </w:pPr>
            <w:r>
              <w:rPr>
                <w:rFonts w:ascii="Times New Roman" w:cs="Times New Roman" w:eastAsia="Times New Roman" w:hAnsi="Times New Roman"/>
                <w:sz w:val="18"/>
                <w:szCs w:val="18"/>
                <w:color w:val="auto"/>
              </w:rPr>
              <w:t>Ana Graciela de Mndez</w:t>
            </w:r>
          </w:p>
        </w:tc>
      </w:tr>
      <w:tr>
        <w:trPr>
          <w:trHeight w:val="257"/>
        </w:trPr>
        <w:tc>
          <w:tcPr>
            <w:tcW w:w="4280" w:type="dxa"/>
            <w:vAlign w:val="bottom"/>
          </w:tcPr>
          <w:p>
            <w:pPr>
              <w:spacing w:after="0"/>
              <w:rPr>
                <w:sz w:val="20"/>
                <w:szCs w:val="20"/>
                <w:color w:val="auto"/>
              </w:rPr>
            </w:pPr>
            <w:r>
              <w:rPr>
                <w:rFonts w:ascii="Times New Roman" w:cs="Times New Roman" w:eastAsia="Times New Roman" w:hAnsi="Times New Roman"/>
                <w:sz w:val="18"/>
                <w:szCs w:val="18"/>
                <w:color w:val="auto"/>
              </w:rPr>
              <w:t>Title:</w:t>
            </w:r>
          </w:p>
        </w:tc>
        <w:tc>
          <w:tcPr>
            <w:tcW w:w="6820" w:type="dxa"/>
            <w:vAlign w:val="bottom"/>
            <w:gridSpan w:val="2"/>
          </w:tcPr>
          <w:p>
            <w:pPr>
              <w:ind w:left="260"/>
              <w:spacing w:after="0"/>
              <w:rPr>
                <w:sz w:val="20"/>
                <w:szCs w:val="20"/>
                <w:color w:val="auto"/>
              </w:rPr>
            </w:pPr>
            <w:r>
              <w:rPr>
                <w:rFonts w:ascii="Times New Roman" w:cs="Times New Roman" w:eastAsia="Times New Roman" w:hAnsi="Times New Roman"/>
                <w:sz w:val="18"/>
                <w:szCs w:val="18"/>
                <w:color w:val="auto"/>
              </w:rPr>
              <w:t>CFO</w:t>
            </w:r>
          </w:p>
        </w:tc>
      </w:tr>
    </w:tbl>
    <w:p>
      <w:pPr>
        <w:sectPr>
          <w:pgSz w:w="11900" w:h="16838" w:orient="portrait"/>
          <w:cols w:equalWidth="0" w:num="1">
            <w:col w:w="11240"/>
          </w:cols>
          <w:pgMar w:left="320" w:top="927" w:right="339"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spacing w:after="0" w:line="271" w:lineRule="auto"/>
        <w:rPr>
          <w:sz w:val="20"/>
          <w:szCs w:val="20"/>
          <w:color w:val="auto"/>
        </w:rPr>
      </w:pPr>
      <w:r>
        <w:rPr>
          <w:rFonts w:ascii="Times New Roman" w:cs="Times New Roman" w:eastAsia="Times New Roman" w:hAnsi="Times New Roman"/>
          <w:sz w:val="18"/>
          <w:szCs w:val="18"/>
          <w:b w:val="1"/>
          <w:bCs w:val="1"/>
          <w:color w:val="auto"/>
        </w:rPr>
        <w:t>BLADEX ANNOUNCES PROFIT FOR THE FIRST QUARTER 2022 OF $11.1 MILLION, OR $0.31 PER SHARE; ON HIGHER CREDIT PROVISIONS ASSOCIATED TO SOLID PORTFOLIO GROWTH</w:t>
      </w:r>
    </w:p>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PANAMA CITY, REPUBLIC OF PANAMA, May 4, 2022</w:t>
      </w:r>
    </w:p>
    <w:p>
      <w:pPr>
        <w:spacing w:after="0" w:line="6"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8"/>
          <w:szCs w:val="18"/>
          <w:b w:val="1"/>
          <w:bCs w:val="1"/>
          <w:color w:val="auto"/>
        </w:rPr>
        <w:t xml:space="preserve">Banco Latinoamericano de Comercio Exterior, S.A. </w:t>
      </w:r>
      <w:r>
        <w:rPr>
          <w:rFonts w:ascii="Times New Roman" w:cs="Times New Roman" w:eastAsia="Times New Roman" w:hAnsi="Times New Roman"/>
          <w:sz w:val="18"/>
          <w:szCs w:val="18"/>
          <w:color w:val="auto"/>
        </w:rPr>
        <w:t>(NYSE: BLX, “Bladex”, or “the Bank”), a Panama-based multinational bank originally established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by the central banks of 23 Latin-American and Caribbean countries to promote foreign trade and economic integration in the Region, today announced its results for the First Quarter (“1Q22”) ended March 31, 2022.</w:t>
      </w:r>
    </w:p>
    <w:p>
      <w:pPr>
        <w:spacing w:after="0" w:line="21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9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FINANCIAL SNAPSHOT</w:t>
      </w:r>
    </w:p>
    <w:p>
      <w:pPr>
        <w:spacing w:after="0" w:line="47"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(US$ million, except percentages and per share amounts)</w:t>
            </w:r>
          </w:p>
        </w:tc>
        <w:tc>
          <w:tcPr>
            <w:tcW w:w="300" w:type="dxa"/>
            <w:vAlign w:val="bottom"/>
          </w:tcPr>
          <w:p>
            <w:pPr>
              <w:spacing w:after="0"/>
              <w:rPr>
                <w:sz w:val="16"/>
                <w:szCs w:val="16"/>
                <w:color w:val="auto"/>
              </w:rPr>
            </w:pPr>
          </w:p>
        </w:tc>
        <w:tc>
          <w:tcPr>
            <w:tcW w:w="1060" w:type="dxa"/>
            <w:vAlign w:val="bottom"/>
            <w:gridSpan w:val="2"/>
          </w:tcPr>
          <w:p>
            <w:pPr>
              <w:ind w:left="200"/>
              <w:spacing w:after="0"/>
              <w:rPr>
                <w:sz w:val="20"/>
                <w:szCs w:val="20"/>
                <w:color w:val="auto"/>
              </w:rPr>
            </w:pPr>
            <w:r>
              <w:rPr>
                <w:rFonts w:ascii="Times New Roman" w:cs="Times New Roman" w:eastAsia="Times New Roman" w:hAnsi="Times New Roman"/>
                <w:sz w:val="14"/>
                <w:szCs w:val="14"/>
                <w:b w:val="1"/>
                <w:bCs w:val="1"/>
                <w:color w:val="auto"/>
              </w:rPr>
              <w:t>1Q22</w:t>
            </w:r>
          </w:p>
        </w:tc>
        <w:tc>
          <w:tcPr>
            <w:tcW w:w="280" w:type="dxa"/>
            <w:vAlign w:val="bottom"/>
          </w:tcPr>
          <w:p>
            <w:pPr>
              <w:spacing w:after="0"/>
              <w:rPr>
                <w:sz w:val="16"/>
                <w:szCs w:val="16"/>
                <w:color w:val="auto"/>
              </w:rPr>
            </w:pPr>
          </w:p>
        </w:tc>
        <w:tc>
          <w:tcPr>
            <w:tcW w:w="1100" w:type="dxa"/>
            <w:vAlign w:val="bottom"/>
            <w:gridSpan w:val="2"/>
          </w:tcPr>
          <w:p>
            <w:pPr>
              <w:ind w:left="200"/>
              <w:spacing w:after="0"/>
              <w:rPr>
                <w:sz w:val="20"/>
                <w:szCs w:val="20"/>
                <w:color w:val="auto"/>
              </w:rPr>
            </w:pPr>
            <w:r>
              <w:rPr>
                <w:rFonts w:ascii="Times New Roman" w:cs="Times New Roman" w:eastAsia="Times New Roman" w:hAnsi="Times New Roman"/>
                <w:sz w:val="14"/>
                <w:szCs w:val="14"/>
                <w:b w:val="1"/>
                <w:bCs w:val="1"/>
                <w:color w:val="auto"/>
              </w:rPr>
              <w:t>4Q21</w:t>
            </w:r>
          </w:p>
        </w:tc>
        <w:tc>
          <w:tcPr>
            <w:tcW w:w="280" w:type="dxa"/>
            <w:vAlign w:val="bottom"/>
          </w:tcPr>
          <w:p>
            <w:pPr>
              <w:spacing w:after="0"/>
              <w:rPr>
                <w:sz w:val="16"/>
                <w:szCs w:val="16"/>
                <w:color w:val="auto"/>
              </w:rPr>
            </w:pPr>
          </w:p>
        </w:tc>
        <w:tc>
          <w:tcPr>
            <w:tcW w:w="980" w:type="dxa"/>
            <w:vAlign w:val="bottom"/>
          </w:tcPr>
          <w:p>
            <w:pPr>
              <w:jc w:val="right"/>
              <w:ind w:right="408"/>
              <w:spacing w:after="0"/>
              <w:rPr>
                <w:sz w:val="20"/>
                <w:szCs w:val="20"/>
                <w:color w:val="auto"/>
              </w:rPr>
            </w:pPr>
            <w:r>
              <w:rPr>
                <w:rFonts w:ascii="Times New Roman" w:cs="Times New Roman" w:eastAsia="Times New Roman" w:hAnsi="Times New Roman"/>
                <w:sz w:val="14"/>
                <w:szCs w:val="14"/>
                <w:b w:val="1"/>
                <w:bCs w:val="1"/>
                <w:color w:val="auto"/>
              </w:rPr>
              <w:t>1Q21</w:t>
            </w:r>
          </w:p>
        </w:tc>
        <w:tc>
          <w:tcPr>
            <w:tcW w:w="0" w:type="dxa"/>
            <w:vAlign w:val="bottom"/>
          </w:tcPr>
          <w:p>
            <w:pPr>
              <w:spacing w:after="0"/>
              <w:rPr>
                <w:sz w:val="1"/>
                <w:szCs w:val="1"/>
                <w:color w:val="auto"/>
              </w:rPr>
            </w:pPr>
          </w:p>
        </w:tc>
      </w:tr>
      <w:tr>
        <w:trPr>
          <w:trHeight w:val="23"/>
        </w:trPr>
        <w:tc>
          <w:tcPr>
            <w:tcW w:w="9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6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37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9"/>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Key Income Statement Highlights</w:t>
            </w:r>
          </w:p>
        </w:tc>
        <w:tc>
          <w:tcPr>
            <w:tcW w:w="300" w:type="dxa"/>
            <w:vAlign w:val="bottom"/>
            <w:tcBorders>
              <w:bottom w:val="single" w:sz="8" w:color="CCEEFF"/>
            </w:tcBorders>
            <w:shd w:val="clear" w:color="auto" w:fill="CCEEFF"/>
          </w:tcPr>
          <w:p>
            <w:pPr>
              <w:spacing w:after="0"/>
              <w:rPr>
                <w:sz w:val="16"/>
                <w:szCs w:val="16"/>
                <w:color w:val="auto"/>
              </w:rPr>
            </w:pPr>
          </w:p>
        </w:tc>
        <w:tc>
          <w:tcPr>
            <w:tcW w:w="98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280" w:type="dxa"/>
            <w:vAlign w:val="bottom"/>
            <w:tcBorders>
              <w:bottom w:val="single" w:sz="8" w:color="CCEEFF"/>
            </w:tcBorders>
            <w:shd w:val="clear" w:color="auto" w:fill="CCEEFF"/>
          </w:tcPr>
          <w:p>
            <w:pPr>
              <w:spacing w:after="0"/>
              <w:rPr>
                <w:sz w:val="16"/>
                <w:szCs w:val="16"/>
                <w:color w:val="auto"/>
              </w:rPr>
            </w:pPr>
          </w:p>
        </w:tc>
        <w:tc>
          <w:tcPr>
            <w:tcW w:w="100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280" w:type="dxa"/>
            <w:vAlign w:val="bottom"/>
            <w:tcBorders>
              <w:bottom w:val="single" w:sz="8" w:color="CCEEFF"/>
            </w:tcBorders>
            <w:shd w:val="clear" w:color="auto" w:fill="CCEEFF"/>
          </w:tcPr>
          <w:p>
            <w:pPr>
              <w:spacing w:after="0"/>
              <w:rPr>
                <w:sz w:val="16"/>
                <w:szCs w:val="16"/>
                <w:color w:val="auto"/>
              </w:rPr>
            </w:pPr>
          </w:p>
        </w:tc>
        <w:tc>
          <w:tcPr>
            <w:tcW w:w="98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Net Interest Income ("NII")</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25.7</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24.8</w:t>
            </w:r>
          </w:p>
        </w:tc>
        <w:tc>
          <w:tcPr>
            <w:tcW w:w="100" w:type="dxa"/>
            <w:vAlign w:val="bottom"/>
          </w:tcPr>
          <w:p>
            <w:pPr>
              <w:spacing w:after="0"/>
              <w:rPr>
                <w:sz w:val="16"/>
                <w:szCs w:val="16"/>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18.9</w:t>
            </w: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Fees and commissions, net</w:t>
            </w:r>
          </w:p>
        </w:tc>
        <w:tc>
          <w:tcPr>
            <w:tcW w:w="30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3.9</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6.2</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3.0</w:t>
            </w: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Gain (loss) on financial instruments, net</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0.6</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(1.3)</w:t>
            </w:r>
          </w:p>
        </w:tc>
        <w:tc>
          <w:tcPr>
            <w:tcW w:w="100" w:type="dxa"/>
            <w:vAlign w:val="bottom"/>
          </w:tcPr>
          <w:p>
            <w:pPr>
              <w:spacing w:after="0"/>
              <w:rPr>
                <w:sz w:val="16"/>
                <w:szCs w:val="16"/>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(0.1)</w:t>
            </w: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Other income, net</w:t>
            </w:r>
          </w:p>
        </w:tc>
        <w:tc>
          <w:tcPr>
            <w:tcW w:w="30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0.0</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0.1</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0.1</w:t>
            </w: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Total revenues</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30.2</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29.8</w:t>
            </w:r>
          </w:p>
        </w:tc>
        <w:tc>
          <w:tcPr>
            <w:tcW w:w="100" w:type="dxa"/>
            <w:vAlign w:val="bottom"/>
          </w:tcPr>
          <w:p>
            <w:pPr>
              <w:spacing w:after="0"/>
              <w:rPr>
                <w:sz w:val="16"/>
                <w:szCs w:val="16"/>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22.0</w:t>
            </w: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Provision for credit losses</w:t>
            </w:r>
          </w:p>
        </w:tc>
        <w:tc>
          <w:tcPr>
            <w:tcW w:w="30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(8.1)</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(0.2)</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0.0</w:t>
            </w: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Gain on non-financial assets, net</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0.0</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0.7</w:t>
            </w:r>
          </w:p>
        </w:tc>
        <w:tc>
          <w:tcPr>
            <w:tcW w:w="100" w:type="dxa"/>
            <w:vAlign w:val="bottom"/>
          </w:tcPr>
          <w:p>
            <w:pPr>
              <w:spacing w:after="0"/>
              <w:rPr>
                <w:sz w:val="16"/>
                <w:szCs w:val="16"/>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0.0</w:t>
            </w: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Operating expenses</w:t>
            </w:r>
          </w:p>
        </w:tc>
        <w:tc>
          <w:tcPr>
            <w:tcW w:w="30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(11.0)</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(10.3)</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(9.1)</w:t>
            </w: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Profit for the period</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11.1</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20.1</w:t>
            </w:r>
          </w:p>
        </w:tc>
        <w:tc>
          <w:tcPr>
            <w:tcW w:w="100" w:type="dxa"/>
            <w:vAlign w:val="bottom"/>
          </w:tcPr>
          <w:p>
            <w:pPr>
              <w:spacing w:after="0"/>
              <w:rPr>
                <w:sz w:val="16"/>
                <w:szCs w:val="16"/>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12.8</w:t>
            </w: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Profitability Ratios</w:t>
            </w:r>
          </w:p>
        </w:tc>
        <w:tc>
          <w:tcPr>
            <w:tcW w:w="30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 xml:space="preserve">Earnings per Share ("EPS") </w:t>
            </w:r>
            <w:r>
              <w:rPr>
                <w:rFonts w:ascii="Times New Roman" w:cs="Times New Roman" w:eastAsia="Times New Roman" w:hAnsi="Times New Roman"/>
                <w:sz w:val="18"/>
                <w:szCs w:val="18"/>
                <w:color w:val="auto"/>
                <w:vertAlign w:val="superscript"/>
              </w:rPr>
              <w:t>(1)</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0.31</w:t>
            </w:r>
          </w:p>
        </w:tc>
        <w:tc>
          <w:tcPr>
            <w:tcW w:w="80" w:type="dxa"/>
            <w:vAlign w:val="bottom"/>
          </w:tcPr>
          <w:p>
            <w:pPr>
              <w:spacing w:after="0"/>
              <w:rPr>
                <w:sz w:val="18"/>
                <w:szCs w:val="18"/>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0.54</w:t>
            </w:r>
          </w:p>
        </w:tc>
        <w:tc>
          <w:tcPr>
            <w:tcW w:w="100" w:type="dxa"/>
            <w:vAlign w:val="bottom"/>
          </w:tcPr>
          <w:p>
            <w:pPr>
              <w:spacing w:after="0"/>
              <w:rPr>
                <w:sz w:val="18"/>
                <w:szCs w:val="18"/>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0.32</w:t>
            </w:r>
          </w:p>
        </w:tc>
        <w:tc>
          <w:tcPr>
            <w:tcW w:w="0" w:type="dxa"/>
            <w:vAlign w:val="bottom"/>
          </w:tcPr>
          <w:p>
            <w:pPr>
              <w:spacing w:after="0"/>
              <w:rPr>
                <w:sz w:val="1"/>
                <w:szCs w:val="1"/>
                <w:color w:val="auto"/>
              </w:rPr>
            </w:pPr>
          </w:p>
        </w:tc>
      </w:tr>
      <w:tr>
        <w:trPr>
          <w:trHeight w:val="216"/>
        </w:trPr>
        <w:tc>
          <w:tcPr>
            <w:tcW w:w="7240" w:type="dxa"/>
            <w:vAlign w:val="bottom"/>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Return on Average Equity (“ROAE”) </w:t>
            </w:r>
            <w:r>
              <w:rPr>
                <w:rFonts w:ascii="Times New Roman" w:cs="Times New Roman" w:eastAsia="Times New Roman" w:hAnsi="Times New Roman"/>
                <w:sz w:val="18"/>
                <w:szCs w:val="18"/>
                <w:color w:val="auto"/>
                <w:vertAlign w:val="superscript"/>
              </w:rPr>
              <w:t>(2)</w:t>
            </w:r>
          </w:p>
        </w:tc>
        <w:tc>
          <w:tcPr>
            <w:tcW w:w="3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4.5 %</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7.9 %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5.0 %</w:t>
            </w: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Return on Average Assets (ROAA)</w:t>
            </w:r>
          </w:p>
        </w:tc>
        <w:tc>
          <w:tcPr>
            <w:tcW w:w="3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0.6 %</w:t>
            </w:r>
          </w:p>
        </w:tc>
        <w:tc>
          <w:tcPr>
            <w:tcW w:w="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1.1 %</w:t>
            </w: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0.8 %</w:t>
            </w: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2"/>
        </w:trPr>
        <w:tc>
          <w:tcPr>
            <w:tcW w:w="1720" w:type="dxa"/>
            <w:vAlign w:val="bottom"/>
            <w:gridSpan w:val="5"/>
            <w:vMerge w:val="restart"/>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shd w:val="clear" w:color="auto" w:fill="CCEEFF"/>
              </w:rPr>
              <w:t>Net Interest Margin ("NIM")</w:t>
            </w: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w w:val="94"/>
                <w:shd w:val="clear" w:color="auto" w:fill="CCEEFF"/>
              </w:rPr>
              <w:t>(3)</w:t>
            </w:r>
          </w:p>
        </w:tc>
        <w:tc>
          <w:tcPr>
            <w:tcW w:w="500" w:type="dxa"/>
            <w:vAlign w:val="bottom"/>
            <w:vMerge w:val="restart"/>
            <w:shd w:val="clear" w:color="auto" w:fill="CCEEFF"/>
          </w:tcPr>
          <w:p>
            <w:pPr>
              <w:spacing w:after="0"/>
              <w:rPr>
                <w:sz w:val="10"/>
                <w:szCs w:val="10"/>
                <w:color w:val="auto"/>
              </w:rPr>
            </w:pPr>
          </w:p>
        </w:tc>
        <w:tc>
          <w:tcPr>
            <w:tcW w:w="1060" w:type="dxa"/>
            <w:vAlign w:val="bottom"/>
            <w:shd w:val="clear" w:color="auto" w:fill="CCEEFF"/>
          </w:tcPr>
          <w:p>
            <w:pPr>
              <w:spacing w:after="0"/>
              <w:rPr>
                <w:sz w:val="10"/>
                <w:szCs w:val="10"/>
                <w:color w:val="auto"/>
              </w:rPr>
            </w:pPr>
          </w:p>
        </w:tc>
        <w:tc>
          <w:tcPr>
            <w:tcW w:w="3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1.42 %</w:t>
            </w:r>
          </w:p>
        </w:tc>
        <w:tc>
          <w:tcPr>
            <w:tcW w:w="10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1.24 %</w:t>
            </w:r>
          </w:p>
        </w:tc>
        <w:tc>
          <w:tcPr>
            <w:tcW w:w="0" w:type="dxa"/>
            <w:vAlign w:val="bottom"/>
          </w:tcPr>
          <w:p>
            <w:pPr>
              <w:spacing w:after="0"/>
              <w:rPr>
                <w:sz w:val="1"/>
                <w:szCs w:val="1"/>
                <w:color w:val="auto"/>
              </w:rPr>
            </w:pPr>
          </w:p>
        </w:tc>
      </w:tr>
      <w:tr>
        <w:trPr>
          <w:trHeight w:val="74"/>
        </w:trPr>
        <w:tc>
          <w:tcPr>
            <w:tcW w:w="1720" w:type="dxa"/>
            <w:vAlign w:val="bottom"/>
            <w:tcBorders>
              <w:bottom w:val="single" w:sz="8" w:color="CCEEFF"/>
            </w:tcBorders>
            <w:gridSpan w:val="5"/>
            <w:vMerge w:val="continue"/>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500" w:type="dxa"/>
            <w:vAlign w:val="bottom"/>
            <w:tcBorders>
              <w:bottom w:val="single" w:sz="8" w:color="CCEEFF"/>
            </w:tcBorders>
            <w:vMerge w:val="continue"/>
            <w:shd w:val="clear" w:color="auto" w:fill="CCEEFF"/>
          </w:tcPr>
          <w:p>
            <w:pPr>
              <w:spacing w:after="0"/>
              <w:rPr>
                <w:sz w:val="6"/>
                <w:szCs w:val="6"/>
                <w:color w:val="auto"/>
              </w:rPr>
            </w:pPr>
          </w:p>
        </w:tc>
        <w:tc>
          <w:tcPr>
            <w:tcW w:w="1060" w:type="dxa"/>
            <w:vAlign w:val="bottom"/>
            <w:tcBorders>
              <w:bottom w:val="single" w:sz="8" w:color="CCEEFF"/>
            </w:tcBorders>
            <w:shd w:val="clear" w:color="auto" w:fill="CCEEFF"/>
          </w:tcPr>
          <w:p>
            <w:pPr>
              <w:spacing w:after="0"/>
              <w:rPr>
                <w:sz w:val="6"/>
                <w:szCs w:val="6"/>
                <w:color w:val="auto"/>
              </w:rPr>
            </w:pPr>
          </w:p>
        </w:tc>
        <w:tc>
          <w:tcPr>
            <w:tcW w:w="3740" w:type="dxa"/>
            <w:vAlign w:val="bottom"/>
            <w:tcBorders>
              <w:bottom w:val="single" w:sz="8" w:color="CCEEFF"/>
            </w:tcBorders>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300" w:type="dxa"/>
            <w:vAlign w:val="bottom"/>
            <w:tcBorders>
              <w:bottom w:val="single" w:sz="8" w:color="CCEEFF"/>
            </w:tcBorders>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8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shd w:val="clear" w:color="auto" w:fill="CCEEFF"/>
          </w:tcPr>
          <w:p>
            <w:pPr>
              <w:spacing w:after="0"/>
              <w:rPr>
                <w:sz w:val="6"/>
                <w:szCs w:val="6"/>
                <w:color w:val="auto"/>
              </w:rPr>
            </w:pPr>
          </w:p>
        </w:tc>
        <w:tc>
          <w:tcPr>
            <w:tcW w:w="100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 xml:space="preserve">Net Interest Spread ("NIS") </w:t>
            </w:r>
            <w:r>
              <w:rPr>
                <w:rFonts w:ascii="Times New Roman" w:cs="Times New Roman" w:eastAsia="Times New Roman" w:hAnsi="Times New Roman"/>
                <w:sz w:val="18"/>
                <w:szCs w:val="18"/>
                <w:color w:val="auto"/>
                <w:vertAlign w:val="superscript"/>
              </w:rPr>
              <w:t>(4)</w:t>
            </w:r>
          </w:p>
        </w:tc>
        <w:tc>
          <w:tcPr>
            <w:tcW w:w="3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1.15 %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1.26 %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1.04 %</w:t>
            </w:r>
          </w:p>
        </w:tc>
        <w:tc>
          <w:tcPr>
            <w:tcW w:w="0" w:type="dxa"/>
            <w:vAlign w:val="bottom"/>
          </w:tcPr>
          <w:p>
            <w:pPr>
              <w:spacing w:after="0"/>
              <w:rPr>
                <w:sz w:val="1"/>
                <w:szCs w:val="1"/>
                <w:color w:val="auto"/>
              </w:rPr>
            </w:pPr>
          </w:p>
        </w:tc>
      </w:tr>
      <w:tr>
        <w:trPr>
          <w:trHeight w:val="123"/>
        </w:trPr>
        <w:tc>
          <w:tcPr>
            <w:tcW w:w="1000" w:type="dxa"/>
            <w:vAlign w:val="bottom"/>
            <w:gridSpan w:val="2"/>
            <w:vMerge w:val="restart"/>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shd w:val="clear" w:color="auto" w:fill="CCEEFF"/>
              </w:rPr>
              <w:t>Efficiency Ratio</w:t>
            </w:r>
          </w:p>
        </w:tc>
        <w:tc>
          <w:tcPr>
            <w:tcW w:w="1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w w:val="94"/>
                <w:shd w:val="clear" w:color="auto" w:fill="CCEEFF"/>
              </w:rPr>
              <w:t>(5)</w:t>
            </w:r>
          </w:p>
        </w:tc>
        <w:tc>
          <w:tcPr>
            <w:tcW w:w="720" w:type="dxa"/>
            <w:vAlign w:val="bottom"/>
            <w:gridSpan w:val="2"/>
            <w:vMerge w:val="restart"/>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60" w:type="dxa"/>
            <w:vAlign w:val="bottom"/>
            <w:shd w:val="clear" w:color="auto" w:fill="CCEEFF"/>
          </w:tcPr>
          <w:p>
            <w:pPr>
              <w:spacing w:after="0"/>
              <w:rPr>
                <w:sz w:val="10"/>
                <w:szCs w:val="10"/>
                <w:color w:val="auto"/>
              </w:rPr>
            </w:pPr>
          </w:p>
        </w:tc>
        <w:tc>
          <w:tcPr>
            <w:tcW w:w="3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36.4 %</w:t>
            </w: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34.6 %</w:t>
            </w:r>
          </w:p>
        </w:tc>
        <w:tc>
          <w:tcPr>
            <w:tcW w:w="10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41.6 %</w:t>
            </w:r>
          </w:p>
        </w:tc>
        <w:tc>
          <w:tcPr>
            <w:tcW w:w="0" w:type="dxa"/>
            <w:vAlign w:val="bottom"/>
          </w:tcPr>
          <w:p>
            <w:pPr>
              <w:spacing w:after="0"/>
              <w:rPr>
                <w:sz w:val="1"/>
                <w:szCs w:val="1"/>
                <w:color w:val="auto"/>
              </w:rPr>
            </w:pPr>
          </w:p>
        </w:tc>
      </w:tr>
      <w:tr>
        <w:trPr>
          <w:trHeight w:val="74"/>
        </w:trPr>
        <w:tc>
          <w:tcPr>
            <w:tcW w:w="1000" w:type="dxa"/>
            <w:vAlign w:val="bottom"/>
            <w:tcBorders>
              <w:bottom w:val="single" w:sz="8" w:color="CCEEFF"/>
            </w:tcBorders>
            <w:gridSpan w:val="2"/>
            <w:vMerge w:val="continue"/>
            <w:shd w:val="clear" w:color="auto" w:fill="CCEEFF"/>
          </w:tcPr>
          <w:p>
            <w:pPr>
              <w:spacing w:after="0"/>
              <w:rPr>
                <w:sz w:val="6"/>
                <w:szCs w:val="6"/>
                <w:color w:val="auto"/>
              </w:rPr>
            </w:pPr>
          </w:p>
        </w:tc>
        <w:tc>
          <w:tcPr>
            <w:tcW w:w="80" w:type="dxa"/>
            <w:vAlign w:val="bottom"/>
            <w:tcBorders>
              <w:bottom w:val="single" w:sz="8" w:color="CCEEFF"/>
            </w:tcBorders>
            <w:shd w:val="clear" w:color="auto" w:fill="CCEEFF"/>
          </w:tcPr>
          <w:p>
            <w:pPr>
              <w:spacing w:after="0"/>
              <w:rPr>
                <w:sz w:val="6"/>
                <w:szCs w:val="6"/>
                <w:color w:val="auto"/>
              </w:rPr>
            </w:pPr>
          </w:p>
        </w:tc>
        <w:tc>
          <w:tcPr>
            <w:tcW w:w="40" w:type="dxa"/>
            <w:vAlign w:val="bottom"/>
            <w:tcBorders>
              <w:bottom w:val="single" w:sz="8" w:color="CCEEFF"/>
            </w:tcBorders>
            <w:shd w:val="clear" w:color="auto" w:fill="CCEEFF"/>
          </w:tcPr>
          <w:p>
            <w:pPr>
              <w:spacing w:after="0"/>
              <w:rPr>
                <w:sz w:val="6"/>
                <w:szCs w:val="6"/>
                <w:color w:val="auto"/>
              </w:rPr>
            </w:pPr>
          </w:p>
        </w:tc>
        <w:tc>
          <w:tcPr>
            <w:tcW w:w="720" w:type="dxa"/>
            <w:vAlign w:val="bottom"/>
            <w:tcBorders>
              <w:bottom w:val="single" w:sz="8" w:color="CCEEFF"/>
            </w:tcBorders>
            <w:gridSpan w:val="2"/>
            <w:vMerge w:val="continue"/>
            <w:shd w:val="clear" w:color="auto" w:fill="CCEEFF"/>
          </w:tcPr>
          <w:p>
            <w:pPr>
              <w:spacing w:after="0"/>
              <w:rPr>
                <w:sz w:val="6"/>
                <w:szCs w:val="6"/>
                <w:color w:val="auto"/>
              </w:rPr>
            </w:pPr>
          </w:p>
        </w:tc>
        <w:tc>
          <w:tcPr>
            <w:tcW w:w="500" w:type="dxa"/>
            <w:vAlign w:val="bottom"/>
            <w:tcBorders>
              <w:bottom w:val="single" w:sz="8" w:color="CCEEFF"/>
            </w:tcBorders>
            <w:shd w:val="clear" w:color="auto" w:fill="CCEEFF"/>
          </w:tcPr>
          <w:p>
            <w:pPr>
              <w:spacing w:after="0"/>
              <w:rPr>
                <w:sz w:val="6"/>
                <w:szCs w:val="6"/>
                <w:color w:val="auto"/>
              </w:rPr>
            </w:pPr>
          </w:p>
        </w:tc>
        <w:tc>
          <w:tcPr>
            <w:tcW w:w="1060" w:type="dxa"/>
            <w:vAlign w:val="bottom"/>
            <w:tcBorders>
              <w:bottom w:val="single" w:sz="8" w:color="CCEEFF"/>
            </w:tcBorders>
            <w:shd w:val="clear" w:color="auto" w:fill="CCEEFF"/>
          </w:tcPr>
          <w:p>
            <w:pPr>
              <w:spacing w:after="0"/>
              <w:rPr>
                <w:sz w:val="6"/>
                <w:szCs w:val="6"/>
                <w:color w:val="auto"/>
              </w:rPr>
            </w:pPr>
          </w:p>
        </w:tc>
        <w:tc>
          <w:tcPr>
            <w:tcW w:w="3740" w:type="dxa"/>
            <w:vAlign w:val="bottom"/>
            <w:tcBorders>
              <w:bottom w:val="single" w:sz="8" w:color="CCEEFF"/>
            </w:tcBorders>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300" w:type="dxa"/>
            <w:vAlign w:val="bottom"/>
            <w:tcBorders>
              <w:bottom w:val="single" w:sz="8" w:color="CCEEFF"/>
            </w:tcBorders>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8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shd w:val="clear" w:color="auto" w:fill="CCEEFF"/>
          </w:tcPr>
          <w:p>
            <w:pPr>
              <w:spacing w:after="0"/>
              <w:rPr>
                <w:sz w:val="6"/>
                <w:szCs w:val="6"/>
                <w:color w:val="auto"/>
              </w:rPr>
            </w:pPr>
          </w:p>
        </w:tc>
        <w:tc>
          <w:tcPr>
            <w:tcW w:w="100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b w:val="1"/>
                <w:bCs w:val="1"/>
                <w:color w:val="auto"/>
              </w:rPr>
              <w:t>Assets, Capital, Liquidity &amp; Credit Quality</w:t>
            </w:r>
          </w:p>
        </w:tc>
        <w:tc>
          <w:tcPr>
            <w:tcW w:w="3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3"/>
        </w:trPr>
        <w:tc>
          <w:tcPr>
            <w:tcW w:w="960" w:type="dxa"/>
            <w:vAlign w:val="bottom"/>
            <w:vMerge w:val="restart"/>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shd w:val="clear" w:color="auto" w:fill="CCEEFF"/>
              </w:rPr>
              <w:t>Credit Portfolio</w:t>
            </w:r>
          </w:p>
        </w:tc>
        <w:tc>
          <w:tcPr>
            <w:tcW w:w="1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w w:val="94"/>
                <w:shd w:val="clear" w:color="auto" w:fill="CCEEFF"/>
              </w:rPr>
              <w:t>(6)</w:t>
            </w:r>
          </w:p>
        </w:tc>
        <w:tc>
          <w:tcPr>
            <w:tcW w:w="40" w:type="dxa"/>
            <w:vAlign w:val="bottom"/>
            <w:vMerge w:val="restart"/>
            <w:shd w:val="clear" w:color="auto" w:fill="CCEEFF"/>
          </w:tcPr>
          <w:p>
            <w:pPr>
              <w:spacing w:after="0"/>
              <w:rPr>
                <w:sz w:val="10"/>
                <w:szCs w:val="10"/>
                <w:color w:val="auto"/>
              </w:rPr>
            </w:pPr>
          </w:p>
        </w:tc>
        <w:tc>
          <w:tcPr>
            <w:tcW w:w="720" w:type="dxa"/>
            <w:vAlign w:val="bottom"/>
            <w:gridSpan w:val="2"/>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60" w:type="dxa"/>
            <w:vAlign w:val="bottom"/>
            <w:shd w:val="clear" w:color="auto" w:fill="CCEEFF"/>
          </w:tcPr>
          <w:p>
            <w:pPr>
              <w:spacing w:after="0"/>
              <w:rPr>
                <w:sz w:val="10"/>
                <w:szCs w:val="10"/>
                <w:color w:val="auto"/>
              </w:rPr>
            </w:pPr>
          </w:p>
        </w:tc>
        <w:tc>
          <w:tcPr>
            <w:tcW w:w="3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00" w:type="dxa"/>
            <w:vAlign w:val="bottom"/>
            <w:vMerge w:val="restart"/>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vMerge w:val="restart"/>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8,412</w:t>
            </w:r>
          </w:p>
        </w:tc>
        <w:tc>
          <w:tcPr>
            <w:tcW w:w="80" w:type="dxa"/>
            <w:vAlign w:val="bottom"/>
            <w:shd w:val="clear" w:color="auto" w:fill="CCEEFF"/>
          </w:tcPr>
          <w:p>
            <w:pPr>
              <w:spacing w:after="0"/>
              <w:rPr>
                <w:sz w:val="10"/>
                <w:szCs w:val="10"/>
                <w:color w:val="auto"/>
              </w:rPr>
            </w:pPr>
          </w:p>
        </w:tc>
        <w:tc>
          <w:tcPr>
            <w:tcW w:w="280" w:type="dxa"/>
            <w:vAlign w:val="bottom"/>
            <w:vMerge w:val="restart"/>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vMerge w:val="restart"/>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7,365</w:t>
            </w:r>
          </w:p>
        </w:tc>
        <w:tc>
          <w:tcPr>
            <w:tcW w:w="100" w:type="dxa"/>
            <w:vAlign w:val="bottom"/>
            <w:shd w:val="clear" w:color="auto" w:fill="CCEEFF"/>
          </w:tcPr>
          <w:p>
            <w:pPr>
              <w:spacing w:after="0"/>
              <w:rPr>
                <w:sz w:val="10"/>
                <w:szCs w:val="10"/>
                <w:color w:val="auto"/>
              </w:rPr>
            </w:pPr>
          </w:p>
        </w:tc>
        <w:tc>
          <w:tcPr>
            <w:tcW w:w="280" w:type="dxa"/>
            <w:vAlign w:val="bottom"/>
            <w:vMerge w:val="restart"/>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vMerge w:val="restart"/>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6,097</w:t>
            </w:r>
          </w:p>
        </w:tc>
        <w:tc>
          <w:tcPr>
            <w:tcW w:w="0" w:type="dxa"/>
            <w:vAlign w:val="bottom"/>
          </w:tcPr>
          <w:p>
            <w:pPr>
              <w:spacing w:after="0"/>
              <w:rPr>
                <w:sz w:val="1"/>
                <w:szCs w:val="1"/>
                <w:color w:val="auto"/>
              </w:rPr>
            </w:pPr>
          </w:p>
        </w:tc>
      </w:tr>
      <w:tr>
        <w:trPr>
          <w:trHeight w:val="73"/>
        </w:trPr>
        <w:tc>
          <w:tcPr>
            <w:tcW w:w="960" w:type="dxa"/>
            <w:vAlign w:val="bottom"/>
            <w:tcBorders>
              <w:bottom w:val="single" w:sz="8" w:color="CCEEFF"/>
            </w:tcBorders>
            <w:vMerge w:val="continue"/>
            <w:shd w:val="clear" w:color="auto" w:fill="CCEEFF"/>
          </w:tcPr>
          <w:p>
            <w:pPr>
              <w:spacing w:after="0"/>
              <w:rPr>
                <w:sz w:val="6"/>
                <w:szCs w:val="6"/>
                <w:color w:val="auto"/>
              </w:rPr>
            </w:pPr>
          </w:p>
        </w:tc>
        <w:tc>
          <w:tcPr>
            <w:tcW w:w="120" w:type="dxa"/>
            <w:vAlign w:val="bottom"/>
            <w:tcBorders>
              <w:bottom w:val="single" w:sz="8" w:color="CCEEFF"/>
            </w:tcBorders>
            <w:gridSpan w:val="2"/>
            <w:shd w:val="clear" w:color="auto" w:fill="CCEEFF"/>
          </w:tcPr>
          <w:p>
            <w:pPr>
              <w:spacing w:after="0"/>
              <w:rPr>
                <w:sz w:val="6"/>
                <w:szCs w:val="6"/>
                <w:color w:val="auto"/>
              </w:rPr>
            </w:pPr>
          </w:p>
        </w:tc>
        <w:tc>
          <w:tcPr>
            <w:tcW w:w="40" w:type="dxa"/>
            <w:vAlign w:val="bottom"/>
            <w:tcBorders>
              <w:bottom w:val="single" w:sz="8" w:color="CCEEFF"/>
            </w:tcBorders>
            <w:vMerge w:val="continue"/>
            <w:shd w:val="clear" w:color="auto" w:fill="CCEEFF"/>
          </w:tcPr>
          <w:p>
            <w:pPr>
              <w:spacing w:after="0"/>
              <w:rPr>
                <w:sz w:val="6"/>
                <w:szCs w:val="6"/>
                <w:color w:val="auto"/>
              </w:rPr>
            </w:pPr>
          </w:p>
        </w:tc>
        <w:tc>
          <w:tcPr>
            <w:tcW w:w="6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500" w:type="dxa"/>
            <w:vAlign w:val="bottom"/>
            <w:tcBorders>
              <w:bottom w:val="single" w:sz="8" w:color="CCEEFF"/>
            </w:tcBorders>
            <w:shd w:val="clear" w:color="auto" w:fill="CCEEFF"/>
          </w:tcPr>
          <w:p>
            <w:pPr>
              <w:spacing w:after="0"/>
              <w:rPr>
                <w:sz w:val="6"/>
                <w:szCs w:val="6"/>
                <w:color w:val="auto"/>
              </w:rPr>
            </w:pPr>
          </w:p>
        </w:tc>
        <w:tc>
          <w:tcPr>
            <w:tcW w:w="1060" w:type="dxa"/>
            <w:vAlign w:val="bottom"/>
            <w:tcBorders>
              <w:bottom w:val="single" w:sz="8" w:color="CCEEFF"/>
            </w:tcBorders>
            <w:shd w:val="clear" w:color="auto" w:fill="CCEEFF"/>
          </w:tcPr>
          <w:p>
            <w:pPr>
              <w:spacing w:after="0"/>
              <w:rPr>
                <w:sz w:val="6"/>
                <w:szCs w:val="6"/>
                <w:color w:val="auto"/>
              </w:rPr>
            </w:pPr>
          </w:p>
        </w:tc>
        <w:tc>
          <w:tcPr>
            <w:tcW w:w="3740" w:type="dxa"/>
            <w:vAlign w:val="bottom"/>
            <w:tcBorders>
              <w:bottom w:val="single" w:sz="8" w:color="CCEEFF"/>
            </w:tcBorders>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300" w:type="dxa"/>
            <w:vAlign w:val="bottom"/>
            <w:tcBorders>
              <w:bottom w:val="single" w:sz="8" w:color="CCEEFF"/>
            </w:tcBorders>
            <w:vMerge w:val="continue"/>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8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vMerge w:val="continue"/>
            <w:shd w:val="clear" w:color="auto" w:fill="CCEEFF"/>
          </w:tcPr>
          <w:p>
            <w:pPr>
              <w:spacing w:after="0"/>
              <w:rPr>
                <w:sz w:val="6"/>
                <w:szCs w:val="6"/>
                <w:color w:val="auto"/>
              </w:rPr>
            </w:pPr>
          </w:p>
        </w:tc>
        <w:tc>
          <w:tcPr>
            <w:tcW w:w="100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vMerge w:val="continue"/>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 xml:space="preserve">Commercial Portfolio </w:t>
            </w:r>
            <w:r>
              <w:rPr>
                <w:rFonts w:ascii="Times New Roman" w:cs="Times New Roman" w:eastAsia="Times New Roman" w:hAnsi="Times New Roman"/>
                <w:sz w:val="18"/>
                <w:szCs w:val="18"/>
                <w:color w:val="auto"/>
                <w:vertAlign w:val="superscript"/>
              </w:rPr>
              <w:t>(7)</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7,321</w:t>
            </w:r>
          </w:p>
        </w:tc>
        <w:tc>
          <w:tcPr>
            <w:tcW w:w="80" w:type="dxa"/>
            <w:vAlign w:val="bottom"/>
          </w:tcPr>
          <w:p>
            <w:pPr>
              <w:spacing w:after="0"/>
              <w:rPr>
                <w:sz w:val="18"/>
                <w:szCs w:val="18"/>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6,540</w:t>
            </w:r>
          </w:p>
        </w:tc>
        <w:tc>
          <w:tcPr>
            <w:tcW w:w="100" w:type="dxa"/>
            <w:vAlign w:val="bottom"/>
          </w:tcPr>
          <w:p>
            <w:pPr>
              <w:spacing w:after="0"/>
              <w:rPr>
                <w:sz w:val="18"/>
                <w:szCs w:val="18"/>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5,708</w:t>
            </w:r>
          </w:p>
        </w:tc>
        <w:tc>
          <w:tcPr>
            <w:tcW w:w="0" w:type="dxa"/>
            <w:vAlign w:val="bottom"/>
          </w:tcPr>
          <w:p>
            <w:pPr>
              <w:spacing w:after="0"/>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Investment Portfolio</w:t>
            </w:r>
          </w:p>
        </w:tc>
        <w:tc>
          <w:tcPr>
            <w:tcW w:w="30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1,091</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825</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389</w:t>
            </w:r>
          </w:p>
        </w:tc>
        <w:tc>
          <w:tcPr>
            <w:tcW w:w="0" w:type="dxa"/>
            <w:vAlign w:val="bottom"/>
          </w:tcPr>
          <w:p>
            <w:pPr>
              <w:spacing w:after="0"/>
              <w:rPr>
                <w:sz w:val="1"/>
                <w:szCs w:val="1"/>
                <w:color w:val="auto"/>
              </w:rPr>
            </w:pPr>
          </w:p>
        </w:tc>
      </w:tr>
      <w:tr>
        <w:trPr>
          <w:trHeight w:val="193"/>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Total assets</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8,458</w:t>
            </w:r>
          </w:p>
        </w:tc>
        <w:tc>
          <w:tcPr>
            <w:tcW w:w="80" w:type="dxa"/>
            <w:vAlign w:val="bottom"/>
          </w:tcPr>
          <w:p>
            <w:pPr>
              <w:spacing w:after="0"/>
              <w:rPr>
                <w:sz w:val="16"/>
                <w:szCs w:val="16"/>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8,038</w:t>
            </w:r>
          </w:p>
        </w:tc>
        <w:tc>
          <w:tcPr>
            <w:tcW w:w="100" w:type="dxa"/>
            <w:vAlign w:val="bottom"/>
          </w:tcPr>
          <w:p>
            <w:pPr>
              <w:spacing w:after="0"/>
              <w:rPr>
                <w:sz w:val="16"/>
                <w:szCs w:val="16"/>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6,375</w:t>
            </w:r>
          </w:p>
        </w:tc>
        <w:tc>
          <w:tcPr>
            <w:tcW w:w="0" w:type="dxa"/>
            <w:vAlign w:val="bottom"/>
          </w:tcPr>
          <w:p>
            <w:pPr>
              <w:spacing w:after="0"/>
              <w:rPr>
                <w:sz w:val="1"/>
                <w:szCs w:val="1"/>
                <w:color w:val="auto"/>
              </w:rPr>
            </w:pPr>
          </w:p>
        </w:tc>
      </w:tr>
      <w:tr>
        <w:trPr>
          <w:trHeight w:val="23"/>
        </w:trPr>
        <w:tc>
          <w:tcPr>
            <w:tcW w:w="9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5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3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 w:type="dxa"/>
            <w:vAlign w:val="bottom"/>
          </w:tcPr>
          <w:p>
            <w:pPr>
              <w:spacing w:after="0"/>
              <w:rPr>
                <w:sz w:val="2"/>
                <w:szCs w:val="2"/>
                <w:color w:val="auto"/>
              </w:rPr>
            </w:pPr>
          </w:p>
        </w:tc>
        <w:tc>
          <w:tcPr>
            <w:tcW w:w="28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equity</w:t>
            </w:r>
          </w:p>
        </w:tc>
        <w:tc>
          <w:tcPr>
            <w:tcW w:w="30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1,005</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992</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1,037</w:t>
            </w:r>
          </w:p>
        </w:tc>
        <w:tc>
          <w:tcPr>
            <w:tcW w:w="0" w:type="dxa"/>
            <w:vAlign w:val="bottom"/>
          </w:tcPr>
          <w:p>
            <w:pPr>
              <w:spacing w:after="0"/>
              <w:rPr>
                <w:sz w:val="1"/>
                <w:szCs w:val="1"/>
                <w:color w:val="auto"/>
              </w:rPr>
            </w:pPr>
          </w:p>
        </w:tc>
      </w:tr>
      <w:tr>
        <w:trPr>
          <w:trHeight w:val="216"/>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 xml:space="preserve">Market capitalization </w:t>
            </w:r>
            <w:r>
              <w:rPr>
                <w:rFonts w:ascii="Times New Roman" w:cs="Times New Roman" w:eastAsia="Times New Roman" w:hAnsi="Times New Roman"/>
                <w:sz w:val="18"/>
                <w:szCs w:val="18"/>
                <w:color w:val="auto"/>
                <w:vertAlign w:val="superscript"/>
              </w:rPr>
              <w:t>(8)</w:t>
            </w:r>
          </w:p>
        </w:tc>
        <w:tc>
          <w:tcPr>
            <w:tcW w:w="30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565</w:t>
            </w:r>
          </w:p>
        </w:tc>
        <w:tc>
          <w:tcPr>
            <w:tcW w:w="80" w:type="dxa"/>
            <w:vAlign w:val="bottom"/>
          </w:tcPr>
          <w:p>
            <w:pPr>
              <w:spacing w:after="0"/>
              <w:rPr>
                <w:sz w:val="18"/>
                <w:szCs w:val="18"/>
                <w:color w:val="auto"/>
              </w:rPr>
            </w:pPr>
          </w:p>
        </w:tc>
        <w:tc>
          <w:tcPr>
            <w:tcW w:w="2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601</w:t>
            </w:r>
          </w:p>
        </w:tc>
        <w:tc>
          <w:tcPr>
            <w:tcW w:w="100" w:type="dxa"/>
            <w:vAlign w:val="bottom"/>
          </w:tcPr>
          <w:p>
            <w:pPr>
              <w:spacing w:after="0"/>
              <w:rPr>
                <w:sz w:val="18"/>
                <w:szCs w:val="18"/>
                <w:color w:val="auto"/>
              </w:rPr>
            </w:pPr>
          </w:p>
        </w:tc>
        <w:tc>
          <w:tcPr>
            <w:tcW w:w="2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w w:val="85"/>
              </w:rPr>
              <w:t>$</w:t>
            </w:r>
          </w:p>
        </w:tc>
        <w:tc>
          <w:tcPr>
            <w:tcW w:w="9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601</w:t>
            </w:r>
          </w:p>
        </w:tc>
        <w:tc>
          <w:tcPr>
            <w:tcW w:w="0" w:type="dxa"/>
            <w:vAlign w:val="bottom"/>
          </w:tcPr>
          <w:p>
            <w:pPr>
              <w:spacing w:after="0"/>
              <w:rPr>
                <w:sz w:val="1"/>
                <w:szCs w:val="1"/>
                <w:color w:val="auto"/>
              </w:rPr>
            </w:pPr>
          </w:p>
        </w:tc>
      </w:tr>
      <w:tr>
        <w:trPr>
          <w:trHeight w:val="216"/>
        </w:trPr>
        <w:tc>
          <w:tcPr>
            <w:tcW w:w="7240" w:type="dxa"/>
            <w:vAlign w:val="bottom"/>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Tier 1 Capital to risk-weighted assets (Basel III – IRB)</w:t>
            </w:r>
            <w:r>
              <w:rPr>
                <w:rFonts w:ascii="Times New Roman" w:cs="Times New Roman" w:eastAsia="Times New Roman" w:hAnsi="Times New Roman"/>
                <w:sz w:val="18"/>
                <w:szCs w:val="18"/>
                <w:color w:val="auto"/>
                <w:vertAlign w:val="superscript"/>
              </w:rPr>
              <w:t>(9)</w:t>
            </w:r>
          </w:p>
        </w:tc>
        <w:tc>
          <w:tcPr>
            <w:tcW w:w="3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16.2 %</w:t>
            </w: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19.1 %</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26.3 %</w:t>
            </w:r>
          </w:p>
        </w:tc>
        <w:tc>
          <w:tcPr>
            <w:tcW w:w="0" w:type="dxa"/>
            <w:vAlign w:val="bottom"/>
          </w:tcPr>
          <w:p>
            <w:pPr>
              <w:spacing w:after="0"/>
              <w:rPr>
                <w:sz w:val="1"/>
                <w:szCs w:val="1"/>
                <w:color w:val="auto"/>
              </w:rPr>
            </w:pPr>
          </w:p>
        </w:tc>
      </w:tr>
      <w:tr>
        <w:trPr>
          <w:trHeight w:val="216"/>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 xml:space="preserve">Capital Adequacy Ratio (Regulatory) </w:t>
            </w:r>
            <w:r>
              <w:rPr>
                <w:rFonts w:ascii="Times New Roman" w:cs="Times New Roman" w:eastAsia="Times New Roman" w:hAnsi="Times New Roman"/>
                <w:sz w:val="18"/>
                <w:szCs w:val="18"/>
                <w:color w:val="auto"/>
                <w:vertAlign w:val="superscript"/>
              </w:rPr>
              <w:t>(10)</w:t>
            </w:r>
          </w:p>
        </w:tc>
        <w:tc>
          <w:tcPr>
            <w:tcW w:w="3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13.4 %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15.6 %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19.4 %</w:t>
            </w:r>
          </w:p>
        </w:tc>
        <w:tc>
          <w:tcPr>
            <w:tcW w:w="0" w:type="dxa"/>
            <w:vAlign w:val="bottom"/>
          </w:tcPr>
          <w:p>
            <w:pPr>
              <w:spacing w:after="0"/>
              <w:rPr>
                <w:sz w:val="1"/>
                <w:szCs w:val="1"/>
                <w:color w:val="auto"/>
              </w:rPr>
            </w:pPr>
          </w:p>
        </w:tc>
      </w:tr>
      <w:tr>
        <w:trPr>
          <w:trHeight w:val="196"/>
        </w:trPr>
        <w:tc>
          <w:tcPr>
            <w:tcW w:w="7240" w:type="dxa"/>
            <w:vAlign w:val="bottom"/>
            <w:tcBorders>
              <w:bottom w:val="single" w:sz="8" w:color="CCEEFF"/>
            </w:tcBorders>
            <w:gridSpan w:val="10"/>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assets / Total equity (times)</w:t>
            </w:r>
          </w:p>
        </w:tc>
        <w:tc>
          <w:tcPr>
            <w:tcW w:w="30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8.4</w:t>
            </w:r>
          </w:p>
        </w:tc>
        <w:tc>
          <w:tcPr>
            <w:tcW w:w="8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8.1</w:t>
            </w:r>
          </w:p>
        </w:tc>
        <w:tc>
          <w:tcPr>
            <w:tcW w:w="100" w:type="dxa"/>
            <w:vAlign w:val="bottom"/>
            <w:tcBorders>
              <w:bottom w:val="single" w:sz="8" w:color="CCEEFF"/>
            </w:tcBorders>
            <w:shd w:val="clear" w:color="auto" w:fill="CCEEFF"/>
          </w:tcPr>
          <w:p>
            <w:pPr>
              <w:spacing w:after="0"/>
              <w:rPr>
                <w:sz w:val="17"/>
                <w:szCs w:val="17"/>
                <w:color w:val="auto"/>
              </w:rPr>
            </w:pPr>
          </w:p>
        </w:tc>
        <w:tc>
          <w:tcPr>
            <w:tcW w:w="28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6.1</w:t>
            </w:r>
          </w:p>
        </w:tc>
        <w:tc>
          <w:tcPr>
            <w:tcW w:w="0" w:type="dxa"/>
            <w:vAlign w:val="bottom"/>
          </w:tcPr>
          <w:p>
            <w:pPr>
              <w:spacing w:after="0"/>
              <w:rPr>
                <w:sz w:val="1"/>
                <w:szCs w:val="1"/>
                <w:color w:val="auto"/>
              </w:rPr>
            </w:pPr>
          </w:p>
        </w:tc>
      </w:tr>
      <w:tr>
        <w:trPr>
          <w:trHeight w:val="216"/>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 xml:space="preserve">Liquid Assets / Total Assets </w:t>
            </w:r>
            <w:r>
              <w:rPr>
                <w:rFonts w:ascii="Times New Roman" w:cs="Times New Roman" w:eastAsia="Times New Roman" w:hAnsi="Times New Roman"/>
                <w:sz w:val="18"/>
                <w:szCs w:val="18"/>
                <w:color w:val="auto"/>
                <w:vertAlign w:val="superscript"/>
              </w:rPr>
              <w:t>(11)</w:t>
            </w:r>
          </w:p>
        </w:tc>
        <w:tc>
          <w:tcPr>
            <w:tcW w:w="3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9.2 %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17.5 %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15.6 %</w:t>
            </w:r>
          </w:p>
        </w:tc>
        <w:tc>
          <w:tcPr>
            <w:tcW w:w="0" w:type="dxa"/>
            <w:vAlign w:val="bottom"/>
          </w:tcPr>
          <w:p>
            <w:pPr>
              <w:spacing w:after="0"/>
              <w:rPr>
                <w:sz w:val="1"/>
                <w:szCs w:val="1"/>
                <w:color w:val="auto"/>
              </w:rPr>
            </w:pPr>
          </w:p>
        </w:tc>
      </w:tr>
      <w:tr>
        <w:trPr>
          <w:trHeight w:val="122"/>
        </w:trPr>
        <w:tc>
          <w:tcPr>
            <w:tcW w:w="2340" w:type="dxa"/>
            <w:vAlign w:val="bottom"/>
            <w:gridSpan w:val="7"/>
            <w:vMerge w:val="restart"/>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shd w:val="clear" w:color="auto" w:fill="CCEEFF"/>
              </w:rPr>
              <w:t>Credit-impaired loans to Loan Portfolio</w:t>
            </w:r>
          </w:p>
        </w:tc>
        <w:tc>
          <w:tcPr>
            <w:tcW w:w="1060" w:type="dxa"/>
            <w:vAlign w:val="bottom"/>
            <w:shd w:val="clear" w:color="auto" w:fill="CCEEFF"/>
          </w:tcPr>
          <w:p>
            <w:pPr>
              <w:jc w:val="right"/>
              <w:ind w:right="853"/>
              <w:spacing w:after="0"/>
              <w:rPr>
                <w:sz w:val="20"/>
                <w:szCs w:val="20"/>
                <w:color w:val="auto"/>
              </w:rPr>
            </w:pPr>
            <w:r>
              <w:rPr>
                <w:rFonts w:ascii="Times New Roman" w:cs="Times New Roman" w:eastAsia="Times New Roman" w:hAnsi="Times New Roman"/>
                <w:sz w:val="9"/>
                <w:szCs w:val="9"/>
                <w:color w:val="auto"/>
                <w:w w:val="93"/>
                <w:shd w:val="clear" w:color="auto" w:fill="CCEEFF"/>
              </w:rPr>
              <w:t>(12)</w:t>
            </w:r>
          </w:p>
        </w:tc>
        <w:tc>
          <w:tcPr>
            <w:tcW w:w="3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0.2 %</w:t>
            </w: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0.2 %</w:t>
            </w:r>
          </w:p>
        </w:tc>
        <w:tc>
          <w:tcPr>
            <w:tcW w:w="10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0.2 %</w:t>
            </w:r>
          </w:p>
        </w:tc>
        <w:tc>
          <w:tcPr>
            <w:tcW w:w="0" w:type="dxa"/>
            <w:vAlign w:val="bottom"/>
          </w:tcPr>
          <w:p>
            <w:pPr>
              <w:spacing w:after="0"/>
              <w:rPr>
                <w:sz w:val="1"/>
                <w:szCs w:val="1"/>
                <w:color w:val="auto"/>
              </w:rPr>
            </w:pPr>
          </w:p>
        </w:tc>
      </w:tr>
      <w:tr>
        <w:trPr>
          <w:trHeight w:val="74"/>
        </w:trPr>
        <w:tc>
          <w:tcPr>
            <w:tcW w:w="2340" w:type="dxa"/>
            <w:vAlign w:val="bottom"/>
            <w:tcBorders>
              <w:bottom w:val="single" w:sz="8" w:color="CCEEFF"/>
            </w:tcBorders>
            <w:gridSpan w:val="7"/>
            <w:vMerge w:val="continue"/>
            <w:shd w:val="clear" w:color="auto" w:fill="CCEEFF"/>
          </w:tcPr>
          <w:p>
            <w:pPr>
              <w:spacing w:after="0"/>
              <w:rPr>
                <w:sz w:val="6"/>
                <w:szCs w:val="6"/>
                <w:color w:val="auto"/>
              </w:rPr>
            </w:pPr>
          </w:p>
        </w:tc>
        <w:tc>
          <w:tcPr>
            <w:tcW w:w="1060" w:type="dxa"/>
            <w:vAlign w:val="bottom"/>
            <w:tcBorders>
              <w:bottom w:val="single" w:sz="8" w:color="CCEEFF"/>
            </w:tcBorders>
            <w:shd w:val="clear" w:color="auto" w:fill="CCEEFF"/>
          </w:tcPr>
          <w:p>
            <w:pPr>
              <w:spacing w:after="0"/>
              <w:rPr>
                <w:sz w:val="6"/>
                <w:szCs w:val="6"/>
                <w:color w:val="auto"/>
              </w:rPr>
            </w:pPr>
          </w:p>
        </w:tc>
        <w:tc>
          <w:tcPr>
            <w:tcW w:w="3740" w:type="dxa"/>
            <w:vAlign w:val="bottom"/>
            <w:tcBorders>
              <w:bottom w:val="single" w:sz="8" w:color="CCEEFF"/>
            </w:tcBorders>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300" w:type="dxa"/>
            <w:vAlign w:val="bottom"/>
            <w:tcBorders>
              <w:bottom w:val="single" w:sz="8" w:color="CCEEFF"/>
            </w:tcBorders>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8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shd w:val="clear" w:color="auto" w:fill="CCEEFF"/>
          </w:tcPr>
          <w:p>
            <w:pPr>
              <w:spacing w:after="0"/>
              <w:rPr>
                <w:sz w:val="6"/>
                <w:szCs w:val="6"/>
                <w:color w:val="auto"/>
              </w:rPr>
            </w:pPr>
          </w:p>
        </w:tc>
        <w:tc>
          <w:tcPr>
            <w:tcW w:w="100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280" w:type="dxa"/>
            <w:vAlign w:val="bottom"/>
            <w:tcBorders>
              <w:bottom w:val="single" w:sz="8" w:color="CCEEFF"/>
            </w:tcBorders>
            <w:shd w:val="clear" w:color="auto" w:fill="CCEEFF"/>
          </w:tcPr>
          <w:p>
            <w:pPr>
              <w:spacing w:after="0"/>
              <w:rPr>
                <w:sz w:val="6"/>
                <w:szCs w:val="6"/>
                <w:color w:val="auto"/>
              </w:rPr>
            </w:pPr>
          </w:p>
        </w:tc>
        <w:tc>
          <w:tcPr>
            <w:tcW w:w="980" w:type="dxa"/>
            <w:vAlign w:val="bottom"/>
            <w:tcBorders>
              <w:bottom w:val="single" w:sz="8" w:color="CCEEFF"/>
            </w:tcBorders>
            <w:vMerge w:val="continue"/>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7240" w:type="dxa"/>
            <w:vAlign w:val="bottom"/>
            <w:gridSpan w:val="10"/>
          </w:tcPr>
          <w:p>
            <w:pPr>
              <w:ind w:left="20"/>
              <w:spacing w:after="0"/>
              <w:rPr>
                <w:sz w:val="20"/>
                <w:szCs w:val="20"/>
                <w:color w:val="auto"/>
              </w:rPr>
            </w:pPr>
            <w:r>
              <w:rPr>
                <w:rFonts w:ascii="Times New Roman" w:cs="Times New Roman" w:eastAsia="Times New Roman" w:hAnsi="Times New Roman"/>
                <w:sz w:val="14"/>
                <w:szCs w:val="14"/>
                <w:color w:val="auto"/>
              </w:rPr>
              <w:t xml:space="preserve">Total allowance for losses to Credit Portfolio </w:t>
            </w:r>
            <w:r>
              <w:rPr>
                <w:rFonts w:ascii="Times New Roman" w:cs="Times New Roman" w:eastAsia="Times New Roman" w:hAnsi="Times New Roman"/>
                <w:sz w:val="18"/>
                <w:szCs w:val="18"/>
                <w:color w:val="auto"/>
                <w:vertAlign w:val="superscript"/>
              </w:rPr>
              <w:t>(13)</w:t>
            </w:r>
          </w:p>
        </w:tc>
        <w:tc>
          <w:tcPr>
            <w:tcW w:w="3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0.7 %</w:t>
            </w: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0.6 %</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0.7 %</w:t>
            </w:r>
          </w:p>
        </w:tc>
        <w:tc>
          <w:tcPr>
            <w:tcW w:w="0" w:type="dxa"/>
            <w:vAlign w:val="bottom"/>
          </w:tcPr>
          <w:p>
            <w:pPr>
              <w:spacing w:after="0"/>
              <w:rPr>
                <w:sz w:val="1"/>
                <w:szCs w:val="1"/>
                <w:color w:val="auto"/>
              </w:rPr>
            </w:pPr>
          </w:p>
        </w:tc>
      </w:tr>
      <w:tr>
        <w:trPr>
          <w:trHeight w:val="123"/>
        </w:trPr>
        <w:tc>
          <w:tcPr>
            <w:tcW w:w="3400" w:type="dxa"/>
            <w:vAlign w:val="bottom"/>
            <w:gridSpan w:val="8"/>
            <w:vMerge w:val="restart"/>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shd w:val="clear" w:color="auto" w:fill="CCEEFF"/>
              </w:rPr>
              <w:t>Total allowance for losses to credit-impaired loans (times)</w:t>
            </w:r>
          </w:p>
        </w:tc>
        <w:tc>
          <w:tcPr>
            <w:tcW w:w="3740" w:type="dxa"/>
            <w:vAlign w:val="bottom"/>
            <w:shd w:val="clear" w:color="auto" w:fill="CCEEFF"/>
          </w:tcPr>
          <w:p>
            <w:pPr>
              <w:jc w:val="right"/>
              <w:ind w:right="3533"/>
              <w:spacing w:after="0"/>
              <w:rPr>
                <w:sz w:val="20"/>
                <w:szCs w:val="20"/>
                <w:color w:val="auto"/>
              </w:rPr>
            </w:pPr>
            <w:r>
              <w:rPr>
                <w:rFonts w:ascii="Times New Roman" w:cs="Times New Roman" w:eastAsia="Times New Roman" w:hAnsi="Times New Roman"/>
                <w:sz w:val="9"/>
                <w:szCs w:val="9"/>
                <w:color w:val="auto"/>
                <w:w w:val="93"/>
                <w:shd w:val="clear" w:color="auto" w:fill="CCEEFF"/>
              </w:rPr>
              <w:t>(13)</w:t>
            </w:r>
          </w:p>
        </w:tc>
        <w:tc>
          <w:tcPr>
            <w:tcW w:w="1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5.2</w:t>
            </w: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10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4.4</w:t>
            </w:r>
          </w:p>
        </w:tc>
        <w:tc>
          <w:tcPr>
            <w:tcW w:w="10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9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4.2</w:t>
            </w:r>
          </w:p>
        </w:tc>
        <w:tc>
          <w:tcPr>
            <w:tcW w:w="0" w:type="dxa"/>
            <w:vAlign w:val="bottom"/>
          </w:tcPr>
          <w:p>
            <w:pPr>
              <w:spacing w:after="0"/>
              <w:rPr>
                <w:sz w:val="1"/>
                <w:szCs w:val="1"/>
                <w:color w:val="auto"/>
              </w:rPr>
            </w:pPr>
          </w:p>
        </w:tc>
      </w:tr>
      <w:tr>
        <w:trPr>
          <w:trHeight w:val="97"/>
        </w:trPr>
        <w:tc>
          <w:tcPr>
            <w:tcW w:w="3400" w:type="dxa"/>
            <w:vAlign w:val="bottom"/>
            <w:gridSpan w:val="8"/>
            <w:vMerge w:val="continue"/>
            <w:shd w:val="clear" w:color="auto" w:fill="CCEEFF"/>
          </w:tcPr>
          <w:p>
            <w:pPr>
              <w:spacing w:after="0"/>
              <w:rPr>
                <w:sz w:val="8"/>
                <w:szCs w:val="8"/>
                <w:color w:val="auto"/>
              </w:rPr>
            </w:pPr>
          </w:p>
        </w:tc>
        <w:tc>
          <w:tcPr>
            <w:tcW w:w="374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300" w:type="dxa"/>
            <w:vAlign w:val="bottom"/>
            <w:shd w:val="clear" w:color="auto" w:fill="CCEEFF"/>
          </w:tcPr>
          <w:p>
            <w:pPr>
              <w:spacing w:after="0"/>
              <w:rPr>
                <w:sz w:val="8"/>
                <w:szCs w:val="8"/>
                <w:color w:val="auto"/>
              </w:rPr>
            </w:pPr>
          </w:p>
        </w:tc>
        <w:tc>
          <w:tcPr>
            <w:tcW w:w="980" w:type="dxa"/>
            <w:vAlign w:val="bottom"/>
            <w:vMerge w:val="continue"/>
            <w:shd w:val="clear" w:color="auto" w:fill="CCEEFF"/>
          </w:tcPr>
          <w:p>
            <w:pPr>
              <w:spacing w:after="0"/>
              <w:rPr>
                <w:sz w:val="8"/>
                <w:szCs w:val="8"/>
                <w:color w:val="auto"/>
              </w:rPr>
            </w:pPr>
          </w:p>
        </w:tc>
        <w:tc>
          <w:tcPr>
            <w:tcW w:w="80" w:type="dxa"/>
            <w:vAlign w:val="bottom"/>
            <w:shd w:val="clear" w:color="auto" w:fill="CCEEFF"/>
          </w:tcPr>
          <w:p>
            <w:pPr>
              <w:spacing w:after="0"/>
              <w:rPr>
                <w:sz w:val="8"/>
                <w:szCs w:val="8"/>
                <w:color w:val="auto"/>
              </w:rPr>
            </w:pPr>
          </w:p>
        </w:tc>
        <w:tc>
          <w:tcPr>
            <w:tcW w:w="280" w:type="dxa"/>
            <w:vAlign w:val="bottom"/>
            <w:shd w:val="clear" w:color="auto" w:fill="CCEEFF"/>
          </w:tcPr>
          <w:p>
            <w:pPr>
              <w:spacing w:after="0"/>
              <w:rPr>
                <w:sz w:val="8"/>
                <w:szCs w:val="8"/>
                <w:color w:val="auto"/>
              </w:rPr>
            </w:pPr>
          </w:p>
        </w:tc>
        <w:tc>
          <w:tcPr>
            <w:tcW w:w="1000" w:type="dxa"/>
            <w:vAlign w:val="bottom"/>
            <w:vMerge w:val="continue"/>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280" w:type="dxa"/>
            <w:vAlign w:val="bottom"/>
            <w:shd w:val="clear" w:color="auto" w:fill="CCEEFF"/>
          </w:tcPr>
          <w:p>
            <w:pPr>
              <w:spacing w:after="0"/>
              <w:rPr>
                <w:sz w:val="8"/>
                <w:szCs w:val="8"/>
                <w:color w:val="auto"/>
              </w:rPr>
            </w:pPr>
          </w:p>
        </w:tc>
        <w:tc>
          <w:tcPr>
            <w:tcW w:w="980" w:type="dxa"/>
            <w:vAlign w:val="bottom"/>
            <w:vMerge w:val="continue"/>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24"/>
        </w:trPr>
        <w:tc>
          <w:tcPr>
            <w:tcW w:w="96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60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500" w:type="dxa"/>
            <w:vAlign w:val="bottom"/>
            <w:shd w:val="clear" w:color="auto" w:fill="CCEEFF"/>
          </w:tcPr>
          <w:p>
            <w:pPr>
              <w:spacing w:after="0"/>
              <w:rPr>
                <w:sz w:val="2"/>
                <w:szCs w:val="2"/>
                <w:color w:val="auto"/>
              </w:rPr>
            </w:pPr>
          </w:p>
        </w:tc>
        <w:tc>
          <w:tcPr>
            <w:tcW w:w="1060" w:type="dxa"/>
            <w:vAlign w:val="bottom"/>
            <w:shd w:val="clear" w:color="auto" w:fill="CCEEFF"/>
          </w:tcPr>
          <w:p>
            <w:pPr>
              <w:spacing w:after="0"/>
              <w:rPr>
                <w:sz w:val="2"/>
                <w:szCs w:val="2"/>
                <w:color w:val="auto"/>
              </w:rPr>
            </w:pPr>
          </w:p>
        </w:tc>
        <w:tc>
          <w:tcPr>
            <w:tcW w:w="374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100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362"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BUSINESS HIGHLIGHTS</w:t>
      </w:r>
    </w:p>
    <w:p>
      <w:pPr>
        <w:spacing w:after="0" w:line="20" w:lineRule="exact"/>
        <w:rPr>
          <w:sz w:val="20"/>
          <w:szCs w:val="20"/>
          <w:color w:val="auto"/>
        </w:rPr>
      </w:pPr>
    </w:p>
    <w:p>
      <w:pPr>
        <w:jc w:val="both"/>
        <w:ind w:left="340" w:hanging="332"/>
        <w:spacing w:after="0" w:line="246"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Credit Portfolio increased 38% YoY and 14% QoQ, to reach record levels of $8.4 billion as of March 31, 2022. This growth was driven by Commercial Portfolio reaching $7.3 billion (+28% YoY; +12% QoQ) along with increased credit investment securities to $0.9 billion, aimed to diversify exposures and complement the Bank’s commercial activities.</w:t>
      </w:r>
    </w:p>
    <w:p>
      <w:pPr>
        <w:spacing w:after="0" w:line="72" w:lineRule="exact"/>
        <w:rPr>
          <w:rFonts w:ascii="Times New Roman" w:cs="Times New Roman" w:eastAsia="Times New Roman" w:hAnsi="Times New Roman"/>
          <w:sz w:val="18"/>
          <w:szCs w:val="18"/>
          <w:color w:val="auto"/>
        </w:rPr>
      </w:pPr>
    </w:p>
    <w:p>
      <w:pPr>
        <w:jc w:val="both"/>
        <w:ind w:left="340" w:hanging="332"/>
        <w:spacing w:after="0" w:line="250"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Commercial Portfolio’s growth trend of seven consecutive quarters is propelled by stronger demand from the Bank’s traditional client base, mainly top tier corporations, boosted by higher commodity prices and trade flows in the Region. The Bank continued to focus its origination on portfolio diversification, preserving the high quality of its borrowers, as evidenced by the successful collection of all scheduled loan maturities, as well as by the short-term nature of its business (74% maturing in less than a year).</w:t>
      </w:r>
    </w:p>
    <w:p>
      <w:pPr>
        <w:spacing w:after="0" w:line="82" w:lineRule="exact"/>
        <w:rPr>
          <w:rFonts w:ascii="Times New Roman" w:cs="Times New Roman" w:eastAsia="Times New Roman" w:hAnsi="Times New Roman"/>
          <w:sz w:val="18"/>
          <w:szCs w:val="18"/>
          <w:color w:val="auto"/>
        </w:rPr>
      </w:pPr>
    </w:p>
    <w:p>
      <w:pPr>
        <w:jc w:val="both"/>
        <w:ind w:left="340" w:hanging="332"/>
        <w:spacing w:after="0" w:line="250"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liquidity position, consisting of cash and due from banks and highly rated corporate debt securities (‘A-‘ or above), stood at $0.8 billion, or 9% of total assets as of March 31, 2022. The Bank relies on sustained deposit levels and well diversified funding sources with ample access to global debt and capital markets, such as the re-opening of a debt placement in the Mexican market for an amount equivalent of $150 million, and a $300 million global syndicated transaction, during 1Q22.</w:t>
      </w:r>
    </w:p>
    <w:p>
      <w:pPr>
        <w:spacing w:after="0" w:line="69" w:lineRule="exact"/>
        <w:rPr>
          <w:rFonts w:ascii="Times New Roman" w:cs="Times New Roman" w:eastAsia="Times New Roman" w:hAnsi="Times New Roman"/>
          <w:sz w:val="18"/>
          <w:szCs w:val="18"/>
          <w:color w:val="auto"/>
        </w:rPr>
      </w:pPr>
    </w:p>
    <w:p>
      <w:pPr>
        <w:jc w:val="both"/>
        <w:ind w:left="340" w:hanging="332"/>
        <w:spacing w:after="0" w:line="258"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Alongside Bladex’s portfolio growth is its asset quality preservation, as credit-impaired loans (“NPLs”) remained unchanged at $11 million or 0.2% of total Loan Portfolio as of March 31, 2022. Credits categorized as Stage 2 under IFRS 9 (with increased risk since origination) represented 2% of total credits, unchanged QoQ and down from 5% a year ago, with the remaining 98% categorized as Stage 1 or low-risk credits.</w:t>
      </w:r>
    </w:p>
    <w:p>
      <w:pPr>
        <w:spacing w:after="0" w:line="61" w:lineRule="exact"/>
        <w:rPr>
          <w:rFonts w:ascii="Times New Roman" w:cs="Times New Roman" w:eastAsia="Times New Roman" w:hAnsi="Times New Roman"/>
          <w:sz w:val="18"/>
          <w:szCs w:val="18"/>
          <w:color w:val="auto"/>
        </w:rPr>
      </w:pPr>
    </w:p>
    <w:p>
      <w:pPr>
        <w:ind w:left="340" w:hanging="332"/>
        <w:spacing w:after="0" w:line="266"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of March 31, 2022, the total allowance for credit losses increased 24% YoY and 17% QoQ to reach $55.2 million, representing 0.7% of total Credit Portfolio, and 5.2 times NPL balances. The $8.1 million provision for credit losses in 1Q22 was closely tied to the Bank’s Credit Portfolio growth.</w:t>
      </w:r>
    </w:p>
    <w:p>
      <w:pPr>
        <w:spacing w:after="0" w:line="67" w:lineRule="exact"/>
        <w:rPr>
          <w:rFonts w:ascii="Times New Roman" w:cs="Times New Roman" w:eastAsia="Times New Roman" w:hAnsi="Times New Roman"/>
          <w:sz w:val="18"/>
          <w:szCs w:val="18"/>
          <w:color w:val="auto"/>
        </w:rPr>
      </w:pPr>
    </w:p>
    <w:p>
      <w:pPr>
        <w:ind w:left="340" w:hanging="332"/>
        <w:spacing w:after="0" w:line="266"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Profit for 1Q22 totaled $11.1 million (-13% YoY; -45% QoQ), as the increase in top-line revenues (+38% YoY; +1% QoQ) was mainly offset by the aforementioned credit provision charges.</w:t>
      </w:r>
    </w:p>
    <w:p>
      <w:pPr>
        <w:spacing w:after="0" w:line="54" w:lineRule="exact"/>
        <w:rPr>
          <w:rFonts w:ascii="Times New Roman" w:cs="Times New Roman" w:eastAsia="Times New Roman" w:hAnsi="Times New Roman"/>
          <w:sz w:val="18"/>
          <w:szCs w:val="18"/>
          <w:color w:val="auto"/>
        </w:rPr>
      </w:pPr>
    </w:p>
    <w:p>
      <w:pPr>
        <w:ind w:left="340" w:hanging="332"/>
        <w:spacing w:after="0" w:line="282"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NII continued its quarterly growth trend since a year ago, up 36% YoY and 4% QoQ, to $25.7 million for 1Q22, mainly resulting from the effect of higher average net lending rates and volumes.</w:t>
      </w:r>
    </w:p>
    <w:p>
      <w:pPr>
        <w:spacing w:after="0" w:line="40" w:lineRule="exact"/>
        <w:rPr>
          <w:rFonts w:ascii="Times New Roman" w:cs="Times New Roman" w:eastAsia="Times New Roman" w:hAnsi="Times New Roman"/>
          <w:sz w:val="18"/>
          <w:szCs w:val="18"/>
          <w:color w:val="auto"/>
        </w:rPr>
      </w:pPr>
    </w:p>
    <w:p>
      <w:pPr>
        <w:jc w:val="both"/>
        <w:ind w:left="340" w:hanging="332"/>
        <w:spacing w:after="0" w:line="258"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Fees and Commissions, net, totaled $3.9 million in 1Q22 (+30% YoY; -37% QoQ). Fees from the Bank’s letters credit business sustained its growth trend performance (+31% YoY; +6% QoQ), although impacted by the uneven nature of the transaction-based syndication business when compared to the 4Q21.</w:t>
      </w:r>
    </w:p>
    <w:p>
      <w:pPr>
        <w:spacing w:after="0" w:line="61" w:lineRule="exact"/>
        <w:rPr>
          <w:rFonts w:ascii="Times New Roman" w:cs="Times New Roman" w:eastAsia="Times New Roman" w:hAnsi="Times New Roman"/>
          <w:sz w:val="18"/>
          <w:szCs w:val="18"/>
          <w:color w:val="auto"/>
        </w:rPr>
      </w:pPr>
    </w:p>
    <w:p>
      <w:pPr>
        <w:ind w:left="340" w:hanging="332"/>
        <w:spacing w:after="0" w:line="266" w:lineRule="auto"/>
        <w:tabs>
          <w:tab w:leader="none" w:pos="335"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of March 31, 2022, the Bank´s Tier 1 Basel III Capital and Regulatory Capital Adequacy Ratios stood at 16.2% and 13.4%, respectively, due to higher risk-weighted assets on increased Loan and Investment Portfolios, while equity levels remained relatively stable at over $1 billion.</w:t>
      </w:r>
    </w:p>
    <w:p>
      <w:pPr>
        <w:spacing w:after="0" w:line="200" w:lineRule="exact"/>
        <w:rPr>
          <w:sz w:val="20"/>
          <w:szCs w:val="20"/>
          <w:color w:val="auto"/>
        </w:rPr>
      </w:pPr>
    </w:p>
    <w:p>
      <w:pPr>
        <w:spacing w:after="0" w:line="35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CEO’s Comments</w:t>
      </w:r>
    </w:p>
    <w:p>
      <w:pPr>
        <w:spacing w:after="0" w:line="6"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18"/>
          <w:szCs w:val="18"/>
          <w:color w:val="auto"/>
        </w:rPr>
        <w:t>Mr. Jorge Salas, Bladex’s Chief Executive Officer said: “This quarter was record-breaking in terms of asset growth, reaching USD8.5 billion in total assets on the back of a strong Commercial Portfolio performance. This is now the seventh consecutive quarter of continued growth, as we have been actively taking advantage from increased demand in countries and sectors benefiting from the positive trend in trade volumes, as the increase in commodity prices are a favorable development for net commodity exporters in Latin America.”</w:t>
      </w:r>
    </w:p>
    <w:p>
      <w:pPr>
        <w:spacing w:after="0" w:line="212" w:lineRule="exact"/>
        <w:rPr>
          <w:sz w:val="20"/>
          <w:szCs w:val="20"/>
          <w:color w:val="auto"/>
        </w:rPr>
      </w:pPr>
    </w:p>
    <w:p>
      <w:pPr>
        <w:jc w:val="both"/>
        <w:spacing w:after="0"/>
        <w:rPr>
          <w:sz w:val="20"/>
          <w:szCs w:val="20"/>
          <w:color w:val="auto"/>
        </w:rPr>
      </w:pPr>
      <w:r>
        <w:rPr>
          <w:rFonts w:ascii="Times New Roman" w:cs="Times New Roman" w:eastAsia="Times New Roman" w:hAnsi="Times New Roman"/>
          <w:sz w:val="18"/>
          <w:szCs w:val="18"/>
          <w:color w:val="auto"/>
        </w:rPr>
        <w:t>Mr. Salas added: “To support this growth, Bladex continues to rely on its resilient level of deposits and ample access to debt and capital markets. During the quarter, Bladex successfully reopened a debt placement in the Mexican capital market for 3 billion Mexican Pesos or approximately USD 150 million, and entered into a USD 300 million global syndicated transaction. These new resources allow us to keep funding our commercial growth while maintaining a cost-efficient, diversified and resilient funding base.”</w:t>
      </w:r>
    </w:p>
    <w:p>
      <w:pPr>
        <w:spacing w:after="0" w:line="21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Mr. Salas also indicated: “Interest income does not reflect the full impact of the increased volume of commercial assets observed during the quarter, as most of the growth took place during the last weeks of the quarter and the Bank maintained</w:t>
      </w:r>
    </w:p>
    <w:p>
      <w:pPr>
        <w:spacing w:after="0" w:line="200" w:lineRule="exact"/>
        <w:rPr>
          <w:sz w:val="20"/>
          <w:szCs w:val="20"/>
          <w:color w:val="auto"/>
        </w:rPr>
      </w:pPr>
    </w:p>
    <w:p>
      <w:pPr>
        <w:spacing w:after="0" w:line="246"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higher liquidity levels at the onset of the year, in anticipation of the expected increase of its credit portfolio. The robust asset growth should provide a strong basis for a sustained improvement of the Bank’s revenue flows in the coming months.”</w:t>
      </w:r>
    </w:p>
    <w:p>
      <w:pPr>
        <w:spacing w:after="0" w:line="189" w:lineRule="exact"/>
        <w:rPr>
          <w:sz w:val="20"/>
          <w:szCs w:val="20"/>
          <w:color w:val="auto"/>
        </w:rPr>
      </w:pPr>
    </w:p>
    <w:p>
      <w:pPr>
        <w:jc w:val="both"/>
        <w:spacing w:after="0" w:line="245" w:lineRule="auto"/>
        <w:rPr>
          <w:sz w:val="20"/>
          <w:szCs w:val="20"/>
          <w:color w:val="auto"/>
        </w:rPr>
      </w:pPr>
      <w:r>
        <w:rPr>
          <w:rFonts w:ascii="Times New Roman" w:cs="Times New Roman" w:eastAsia="Times New Roman" w:hAnsi="Times New Roman"/>
          <w:sz w:val="18"/>
          <w:szCs w:val="18"/>
          <w:color w:val="auto"/>
        </w:rPr>
        <w:t>Mr. Salas concluded: “Even though growth forecasts for the Region have been revised down slightly, while inflation continues to rise strongly, with official interest rates expected to move further into restrictive territory, we are confident in our ability to increase the profitability of our credit portfolio given its high turnover and the favorable market dynamics that benefit our business model, which, coupled with our expertise in the Region, allows us to continue to serve our clients’ increasing financing needs.”</w:t>
      </w:r>
    </w:p>
    <w:p>
      <w:pPr>
        <w:spacing w:after="0" w:line="21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RESULTS BY BUSINESS SEGMENT</w:t>
      </w:r>
    </w:p>
    <w:p>
      <w:pPr>
        <w:spacing w:after="0" w:line="20" w:lineRule="exact"/>
        <w:rPr>
          <w:sz w:val="20"/>
          <w:szCs w:val="20"/>
          <w:color w:val="auto"/>
        </w:rPr>
      </w:pPr>
    </w:p>
    <w:p>
      <w:pPr>
        <w:jc w:val="both"/>
        <w:spacing w:after="0" w:line="246" w:lineRule="auto"/>
        <w:rPr>
          <w:sz w:val="20"/>
          <w:szCs w:val="20"/>
          <w:color w:val="auto"/>
        </w:rPr>
      </w:pPr>
      <w:r>
        <w:rPr>
          <w:rFonts w:ascii="Times New Roman" w:cs="Times New Roman" w:eastAsia="Times New Roman" w:hAnsi="Times New Roman"/>
          <w:sz w:val="18"/>
          <w:szCs w:val="18"/>
          <w:color w:val="auto"/>
        </w:rPr>
        <w:t>The Bank’s activities are managed and executed through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20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COMMERCIAL BUSINESS SEGMENT</w:t>
      </w:r>
    </w:p>
    <w:p>
      <w:pPr>
        <w:spacing w:after="0" w:line="20"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18"/>
          <w:szCs w:val="18"/>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2" w:lineRule="exact"/>
        <w:rPr>
          <w:sz w:val="20"/>
          <w:szCs w:val="20"/>
          <w:color w:val="auto"/>
        </w:rPr>
      </w:pPr>
    </w:p>
    <w:p>
      <w:pPr>
        <w:jc w:val="both"/>
        <w:spacing w:after="0" w:line="242" w:lineRule="auto"/>
        <w:rPr>
          <w:sz w:val="20"/>
          <w:szCs w:val="20"/>
          <w:color w:val="auto"/>
        </w:rPr>
      </w:pPr>
      <w:r>
        <w:rPr>
          <w:rFonts w:ascii="Times New Roman" w:cs="Times New Roman" w:eastAsia="Times New Roman" w:hAnsi="Times New Roman"/>
          <w:sz w:val="18"/>
          <w:szCs w:val="18"/>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gain on sale of loans generated through loan intermediation activities, such as sales and distribution in the primary market; (iv) gain (loss) on sale of financial instruments measured at FVTPL; (v) reversal (provision) for credit losses, (vi) gain (loss) on non-financial assets; and (vii) direct and allocated operating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742315</wp:posOffset>
            </wp:positionH>
            <wp:positionV relativeFrom="paragraph">
              <wp:posOffset>154940</wp:posOffset>
            </wp:positionV>
            <wp:extent cx="5657850" cy="21856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657850" cy="21856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Bladex’s Commercial Portfolio maintained its sequential quarterly growth trend, reaching $7.3 billion at the end of 1Q22, a 28% YoY increase compared to $5.7 billion a year ago, and a 12% QoQ increase compared to $6.5 billion a quarter ago.</w:t>
      </w:r>
    </w:p>
    <w:p>
      <w:pPr>
        <w:spacing w:after="0" w:line="200" w:lineRule="exact"/>
        <w:rPr>
          <w:sz w:val="20"/>
          <w:szCs w:val="20"/>
          <w:color w:val="auto"/>
        </w:rPr>
      </w:pPr>
    </w:p>
    <w:p>
      <w:pPr>
        <w:spacing w:after="0" w:line="218"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On an average basis, Commercial Portfolio balances reached $6.7 billion for the 1Q22 (+25% YoY; +8% QoQ). The quarterly increased levels of EoP balances and average volumes were driven by stronger demand from the Bank’s traditional client base of top tier corporations, boosted by higher commodity prices and trade flows in the Region, while exposure to Financial Institutions remained relatively stable on a nominal basis. In addition, the Bank continued collecting all scheduled loan maturities, evidencing the high quality of the Bank’s borrower base and short-term nature of its business.</w:t>
      </w:r>
    </w:p>
    <w:p>
      <w:pPr>
        <w:spacing w:after="0" w:line="204"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As of March 31, 2022, 74% of the Commercial Portfolio was scheduled to mature within a year, down 3 pp from a year ago, and down 1 pp compared from the previous quarter. Trade finance transactions represented 67% of the short-term origination, up 10 pp compared to a year ago, and up 3 pp compared to a quarter ago.</w:t>
      </w:r>
    </w:p>
    <w:p>
      <w:pPr>
        <w:spacing w:after="0" w:line="19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following graphs illustrate the geographic distribution of the Bank’s Commercial Portfolio, highlighting the portfolio´s risk diversification by country and across industry segments, as of March 31,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742315</wp:posOffset>
            </wp:positionH>
            <wp:positionV relativeFrom="paragraph">
              <wp:posOffset>-31115</wp:posOffset>
            </wp:positionV>
            <wp:extent cx="5657850" cy="21774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657850" cy="2177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spacing w:after="0" w:line="245" w:lineRule="auto"/>
        <w:rPr>
          <w:sz w:val="20"/>
          <w:szCs w:val="20"/>
          <w:color w:val="auto"/>
        </w:rPr>
      </w:pPr>
      <w:r>
        <w:rPr>
          <w:rFonts w:ascii="Times New Roman" w:cs="Times New Roman" w:eastAsia="Times New Roman" w:hAnsi="Times New Roman"/>
          <w:sz w:val="18"/>
          <w:szCs w:val="18"/>
          <w:color w:val="auto"/>
        </w:rPr>
        <w:t>Bladex’s credit quality remains sound with a well-diversified exposure across countries. As of March 31, 2022, 44% of the Commercial Portfolio was geographically distributed in investment grade countries, up 1 pp from the previous quarter, still centered on preserving credit quality through well diversified exposures with top-tier clients across the Region, and down 13 pp from a year ago, which is mostly explained by the Bank´s classification of Colombia as non-investment grade following downgrades by two main credit rating agencies back in May and July of 2021. Brazil continues to represent the largest country-risk exposure at 14% of the total Commercial Portfolio, of which 70% was with financial institutions. Other relevant country-risk exposures were Colombia at 12% and investment grade countries such as Mexico at 11%, Chile at 9% and top-rated countries outside of Latin America (which relates to transactions carried out in Latin America) at 8% of the total portfolio.</w:t>
      </w:r>
    </w:p>
    <w:p>
      <w:pPr>
        <w:spacing w:after="0" w:line="208"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8"/>
          <w:szCs w:val="18"/>
          <w:color w:val="auto"/>
        </w:rPr>
        <w:t>The Commercial Portfolio by industries also remained well-diversified and focused on high quality borrowers, as exposure to the Bank’s traditional client base of financial institutions represented 42% of the total Commercial Portfolio, and exposure to sovereign and state-owned corporations accounted for 21% of the total portfolio at the end of 1Q22. The remaining exposure comprises top tier corporates throughout the Region, well diversified across sectors, in which most industries represented 5% or less of the total Commercial Portfolio, except for certain sectors, strategic to the Bank, benefiting from by higher commodity prices and LatAm trade flows, such as Oil &amp; Gas (Downstream) at 13%, Electric power and Metal manufacturing, each at 7%, and Food and beverage, at 6% of the Commercial Portfolio at the end of 1Q22.</w:t>
      </w:r>
    </w:p>
    <w:p>
      <w:pPr>
        <w:spacing w:after="0" w:line="20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Refer to Exhibit VII for additional information related to the Bank’s Commercial Portfolio distribution by country, and Exhibit IX for the Bank’s distribution of loan disbursements by country.</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566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(US$ million)</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74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1Q22</w:t>
            </w:r>
          </w:p>
        </w:tc>
        <w:tc>
          <w:tcPr>
            <w:tcW w:w="220" w:type="dxa"/>
            <w:vAlign w:val="bottom"/>
            <w:tcBorders>
              <w:bottom w:val="single" w:sz="8" w:color="auto"/>
            </w:tcBorders>
          </w:tcPr>
          <w:p>
            <w:pPr>
              <w:spacing w:after="0"/>
              <w:rPr>
                <w:sz w:val="21"/>
                <w:szCs w:val="21"/>
                <w:color w:val="auto"/>
              </w:rPr>
            </w:pPr>
          </w:p>
        </w:tc>
        <w:tc>
          <w:tcPr>
            <w:tcW w:w="760" w:type="dxa"/>
            <w:vAlign w:val="bottom"/>
            <w:tcBorders>
              <w:bottom w:val="single" w:sz="8" w:color="auto"/>
            </w:tcBorders>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4Q21</w:t>
            </w:r>
          </w:p>
        </w:tc>
        <w:tc>
          <w:tcPr>
            <w:tcW w:w="22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1Q21</w:t>
            </w:r>
          </w:p>
        </w:tc>
        <w:tc>
          <w:tcPr>
            <w:tcW w:w="100" w:type="dxa"/>
            <w:vAlign w:val="bottom"/>
            <w:tcBorders>
              <w:bottom w:val="single" w:sz="8" w:color="CCEEFF"/>
            </w:tcBorders>
          </w:tcPr>
          <w:p>
            <w:pPr>
              <w:spacing w:after="0"/>
              <w:rPr>
                <w:sz w:val="21"/>
                <w:szCs w:val="21"/>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QoQ (%)</w:t>
            </w:r>
          </w:p>
        </w:tc>
        <w:tc>
          <w:tcPr>
            <w:tcW w:w="220" w:type="dxa"/>
            <w:vAlign w:val="bottom"/>
            <w:tcBorders>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r>
      <w:tr>
        <w:trPr>
          <w:trHeight w:val="257"/>
        </w:trPr>
        <w:tc>
          <w:tcPr>
            <w:tcW w:w="5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Commercial Business Segment:</w:t>
            </w:r>
          </w:p>
        </w:tc>
        <w:tc>
          <w:tcPr>
            <w:tcW w:w="180" w:type="dxa"/>
            <w:vAlign w:val="bottom"/>
            <w:shd w:val="clear" w:color="auto" w:fill="CCEEFF"/>
          </w:tcPr>
          <w:p>
            <w:pPr>
              <w:spacing w:after="0"/>
              <w:rPr>
                <w:sz w:val="22"/>
                <w:szCs w:val="22"/>
                <w:color w:val="auto"/>
              </w:rPr>
            </w:pPr>
          </w:p>
        </w:tc>
        <w:tc>
          <w:tcPr>
            <w:tcW w:w="74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7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r>
      <w:tr>
        <w:trPr>
          <w:trHeight w:val="250"/>
        </w:trPr>
        <w:tc>
          <w:tcPr>
            <w:tcW w:w="5760" w:type="dxa"/>
            <w:vAlign w:val="bottom"/>
            <w:gridSpan w:val="2"/>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4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25.3</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23.3</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18.7</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576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income</w:t>
            </w:r>
          </w:p>
        </w:tc>
        <w:tc>
          <w:tcPr>
            <w:tcW w:w="18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w:t>
            </w:r>
          </w:p>
        </w:tc>
        <w:tc>
          <w:tcPr>
            <w:tcW w:w="220" w:type="dxa"/>
            <w:vAlign w:val="bottom"/>
            <w:tcBorders>
              <w:bottom w:val="single" w:sz="8" w:color="auto"/>
            </w:tcBorders>
            <w:shd w:val="clear" w:color="auto" w:fill="CCEEFF"/>
          </w:tcPr>
          <w:p>
            <w:pPr>
              <w:spacing w:after="0"/>
              <w:rPr>
                <w:sz w:val="22"/>
                <w:szCs w:val="22"/>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6.5</w:t>
            </w:r>
          </w:p>
        </w:tc>
        <w:tc>
          <w:tcPr>
            <w:tcW w:w="220" w:type="dxa"/>
            <w:vAlign w:val="bottom"/>
            <w:tcBorders>
              <w:bottom w:val="single" w:sz="8" w:color="auto"/>
            </w:tcBorders>
            <w:shd w:val="clear" w:color="auto" w:fill="CCEEFF"/>
          </w:tcPr>
          <w:p>
            <w:pPr>
              <w:spacing w:after="0"/>
              <w:rPr>
                <w:sz w:val="22"/>
                <w:szCs w:val="22"/>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w:t>
            </w:r>
          </w:p>
        </w:tc>
        <w:tc>
          <w:tcPr>
            <w:tcW w:w="100" w:type="dxa"/>
            <w:vAlign w:val="bottom"/>
            <w:tcBorders>
              <w:bottom w:val="single" w:sz="8" w:color="auto"/>
            </w:tcBorders>
            <w:shd w:val="clear" w:color="auto" w:fill="CCEEFF"/>
          </w:tcPr>
          <w:p>
            <w:pPr>
              <w:spacing w:after="0"/>
              <w:rPr>
                <w:sz w:val="22"/>
                <w:szCs w:val="22"/>
                <w:color w:val="auto"/>
              </w:rPr>
            </w:pPr>
          </w:p>
        </w:tc>
        <w:tc>
          <w:tcPr>
            <w:tcW w:w="124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-37 %</w:t>
            </w:r>
          </w:p>
        </w:tc>
        <w:tc>
          <w:tcPr>
            <w:tcW w:w="100" w:type="dxa"/>
            <w:vAlign w:val="bottom"/>
            <w:tcBorders>
              <w:bottom w:val="single" w:sz="8" w:color="auto"/>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0"/>
        </w:trPr>
        <w:tc>
          <w:tcPr>
            <w:tcW w:w="576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18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29.4</w:t>
            </w:r>
          </w:p>
        </w:tc>
        <w:tc>
          <w:tcPr>
            <w:tcW w:w="22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29.8</w:t>
            </w:r>
          </w:p>
        </w:tc>
        <w:tc>
          <w:tcPr>
            <w:tcW w:w="22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22.0</w:t>
            </w:r>
          </w:p>
        </w:tc>
        <w:tc>
          <w:tcPr>
            <w:tcW w:w="100" w:type="dxa"/>
            <w:vAlign w:val="bottom"/>
          </w:tcPr>
          <w:p>
            <w:pPr>
              <w:spacing w:after="0"/>
              <w:rPr>
                <w:sz w:val="21"/>
                <w:szCs w:val="21"/>
                <w:color w:val="auto"/>
              </w:rPr>
            </w:pPr>
          </w:p>
        </w:tc>
        <w:tc>
          <w:tcPr>
            <w:tcW w:w="124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-1 %</w:t>
            </w:r>
          </w:p>
        </w:tc>
        <w:tc>
          <w:tcPr>
            <w:tcW w:w="100" w:type="dxa"/>
            <w:vAlign w:val="bottom"/>
          </w:tcPr>
          <w:p>
            <w:pPr>
              <w:spacing w:after="0"/>
              <w:rPr>
                <w:sz w:val="21"/>
                <w:szCs w:val="21"/>
                <w:color w:val="auto"/>
              </w:rPr>
            </w:pPr>
          </w:p>
        </w:tc>
        <w:tc>
          <w:tcPr>
            <w:tcW w:w="122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34 %</w:t>
            </w:r>
          </w:p>
        </w:tc>
      </w:tr>
      <w:tr>
        <w:trPr>
          <w:trHeight w:val="263"/>
        </w:trPr>
        <w:tc>
          <w:tcPr>
            <w:tcW w:w="576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180" w:type="dxa"/>
            <w:vAlign w:val="bottom"/>
            <w:shd w:val="clear" w:color="auto" w:fill="CCEEFF"/>
          </w:tcPr>
          <w:p>
            <w:pPr>
              <w:spacing w:after="0"/>
              <w:rPr>
                <w:sz w:val="22"/>
                <w:szCs w:val="22"/>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w:t>
            </w:r>
          </w:p>
        </w:tc>
        <w:tc>
          <w:tcPr>
            <w:tcW w:w="220" w:type="dxa"/>
            <w:vAlign w:val="bottom"/>
            <w:shd w:val="clear" w:color="auto" w:fill="CCEEFF"/>
          </w:tcPr>
          <w:p>
            <w:pPr>
              <w:spacing w:after="0"/>
              <w:rPr>
                <w:sz w:val="22"/>
                <w:szCs w:val="22"/>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(0.2)</w:t>
            </w:r>
          </w:p>
        </w:tc>
        <w:tc>
          <w:tcPr>
            <w:tcW w:w="22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-4501 %</w:t>
            </w:r>
          </w:p>
        </w:tc>
        <w:tc>
          <w:tcPr>
            <w:tcW w:w="10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n.m.</w:t>
            </w:r>
          </w:p>
        </w:tc>
      </w:tr>
      <w:tr>
        <w:trPr>
          <w:trHeight w:val="250"/>
        </w:trPr>
        <w:tc>
          <w:tcPr>
            <w:tcW w:w="5760" w:type="dxa"/>
            <w:vAlign w:val="bottom"/>
            <w:gridSpan w:val="2"/>
          </w:tcPr>
          <w:p>
            <w:pPr>
              <w:ind w:left="140"/>
              <w:spacing w:after="0"/>
              <w:rPr>
                <w:sz w:val="20"/>
                <w:szCs w:val="20"/>
                <w:color w:val="auto"/>
              </w:rPr>
            </w:pPr>
            <w:r>
              <w:rPr>
                <w:rFonts w:ascii="Times New Roman" w:cs="Times New Roman" w:eastAsia="Times New Roman" w:hAnsi="Times New Roman"/>
                <w:sz w:val="18"/>
                <w:szCs w:val="18"/>
                <w:color w:val="auto"/>
              </w:rPr>
              <w:t>Gain on non-financial assets, net</w:t>
            </w:r>
          </w:p>
        </w:tc>
        <w:tc>
          <w:tcPr>
            <w:tcW w:w="180" w:type="dxa"/>
            <w:vAlign w:val="bottom"/>
          </w:tcPr>
          <w:p>
            <w:pPr>
              <w:spacing w:after="0"/>
              <w:rPr>
                <w:sz w:val="21"/>
                <w:szCs w:val="21"/>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0.0</w:t>
            </w:r>
          </w:p>
        </w:tc>
        <w:tc>
          <w:tcPr>
            <w:tcW w:w="220" w:type="dxa"/>
            <w:vAlign w:val="bottom"/>
          </w:tcPr>
          <w:p>
            <w:pPr>
              <w:spacing w:after="0"/>
              <w:rPr>
                <w:sz w:val="21"/>
                <w:szCs w:val="21"/>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0.7</w:t>
            </w:r>
          </w:p>
        </w:tc>
        <w:tc>
          <w:tcPr>
            <w:tcW w:w="22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2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n.m.</w:t>
            </w:r>
          </w:p>
        </w:tc>
      </w:tr>
      <w:tr>
        <w:trPr>
          <w:trHeight w:val="257"/>
        </w:trPr>
        <w:tc>
          <w:tcPr>
            <w:tcW w:w="576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18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(8.8)</w:t>
            </w:r>
          </w:p>
        </w:tc>
        <w:tc>
          <w:tcPr>
            <w:tcW w:w="220" w:type="dxa"/>
            <w:vAlign w:val="bottom"/>
            <w:tcBorders>
              <w:bottom w:val="single" w:sz="8" w:color="auto"/>
            </w:tcBorders>
            <w:shd w:val="clear" w:color="auto" w:fill="CCEEFF"/>
          </w:tcPr>
          <w:p>
            <w:pPr>
              <w:spacing w:after="0"/>
              <w:rPr>
                <w:sz w:val="22"/>
                <w:szCs w:val="22"/>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(7.8)</w:t>
            </w:r>
          </w:p>
        </w:tc>
        <w:tc>
          <w:tcPr>
            <w:tcW w:w="220" w:type="dxa"/>
            <w:vAlign w:val="bottom"/>
            <w:tcBorders>
              <w:bottom w:val="single" w:sz="8" w:color="auto"/>
            </w:tcBorders>
            <w:shd w:val="clear" w:color="auto" w:fill="CCEEFF"/>
          </w:tcPr>
          <w:p>
            <w:pPr>
              <w:spacing w:after="0"/>
              <w:rPr>
                <w:sz w:val="22"/>
                <w:szCs w:val="22"/>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(7.1)</w:t>
            </w:r>
          </w:p>
        </w:tc>
        <w:tc>
          <w:tcPr>
            <w:tcW w:w="100" w:type="dxa"/>
            <w:vAlign w:val="bottom"/>
            <w:tcBorders>
              <w:bottom w:val="single" w:sz="8" w:color="auto"/>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auto"/>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576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Profit for the segment</w:t>
            </w:r>
          </w:p>
        </w:tc>
        <w:tc>
          <w:tcPr>
            <w:tcW w:w="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74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13.2</w:t>
            </w:r>
          </w:p>
        </w:tc>
        <w:tc>
          <w:tcPr>
            <w:tcW w:w="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76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22.5</w:t>
            </w:r>
          </w:p>
        </w:tc>
        <w:tc>
          <w:tcPr>
            <w:tcW w:w="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14.9</w:t>
            </w:r>
          </w:p>
        </w:tc>
        <w:tc>
          <w:tcPr>
            <w:tcW w:w="100" w:type="dxa"/>
            <w:vAlign w:val="bottom"/>
            <w:tcBorders>
              <w:bottom w:val="single" w:sz="8" w:color="auto"/>
            </w:tcBorders>
          </w:tcPr>
          <w:p>
            <w:pPr>
              <w:spacing w:after="0"/>
              <w:rPr>
                <w:sz w:val="22"/>
                <w:szCs w:val="22"/>
                <w:color w:val="auto"/>
              </w:rPr>
            </w:pPr>
          </w:p>
        </w:tc>
        <w:tc>
          <w:tcPr>
            <w:tcW w:w="124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-41 %</w:t>
            </w:r>
          </w:p>
        </w:tc>
        <w:tc>
          <w:tcPr>
            <w:tcW w:w="10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-11 %</w:t>
            </w:r>
          </w:p>
        </w:tc>
      </w:tr>
      <w:tr>
        <w:trPr>
          <w:trHeight w:val="20"/>
        </w:trPr>
        <w:tc>
          <w:tcPr>
            <w:tcW w:w="56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r>
      <w:tr>
        <w:trPr>
          <w:trHeight w:val="251"/>
        </w:trPr>
        <w:tc>
          <w:tcPr>
            <w:tcW w:w="5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"n.m." means not meaningful.</w:t>
            </w:r>
          </w:p>
        </w:tc>
        <w:tc>
          <w:tcPr>
            <w:tcW w:w="18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7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r>
    </w:tbl>
    <w:p>
      <w:pPr>
        <w:spacing w:after="0" w:line="76" w:lineRule="exact"/>
        <w:rPr>
          <w:sz w:val="20"/>
          <w:szCs w:val="20"/>
          <w:color w:val="auto"/>
        </w:rPr>
      </w:pPr>
    </w:p>
    <w:p>
      <w:pPr>
        <w:jc w:val="both"/>
        <w:spacing w:after="0" w:line="246" w:lineRule="auto"/>
        <w:rPr>
          <w:sz w:val="20"/>
          <w:szCs w:val="20"/>
          <w:color w:val="auto"/>
        </w:rPr>
      </w:pPr>
      <w:r>
        <w:rPr>
          <w:rFonts w:ascii="Times New Roman" w:cs="Times New Roman" w:eastAsia="Times New Roman" w:hAnsi="Times New Roman"/>
          <w:sz w:val="18"/>
          <w:szCs w:val="18"/>
          <w:color w:val="auto"/>
        </w:rPr>
        <w:t>The Commercial Business Segment’s Profit was $13.2 million for 1Q22 (-11% YoY; -41% QoQ), as higher NII (+35% YoY; +8% QoQ) resulting from the effect of higher average lending rates and volumes, and the sustained growth trend performance in fees from the letters of credit business (+31% YoY; +6% QoQ), were offset by the $7.4 million in provision for credit losses closely tied to higher Commercial Portfolio balances (+28% YoY; +12% QoQ), coupled with lower QoQ syndications fees due to the uneven nature of this transaction-based business, and increased operating expenses, mainly personnel related, as the Bank has strengthen its work force through new hires in order to capture increased business activity.</w:t>
      </w:r>
    </w:p>
    <w:p>
      <w:pPr>
        <w:spacing w:after="0" w:line="20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TREASURY BUSINESS SEGMENT</w:t>
      </w:r>
    </w:p>
    <w:p>
      <w:pPr>
        <w:spacing w:after="0" w:line="31"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 or above,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214"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204" w:lineRule="exact"/>
        <w:rPr>
          <w:sz w:val="20"/>
          <w:szCs w:val="20"/>
          <w:color w:val="auto"/>
        </w:rPr>
      </w:pPr>
    </w:p>
    <w:p>
      <w:pPr>
        <w:jc w:val="both"/>
        <w:spacing w:after="0" w:line="245" w:lineRule="auto"/>
        <w:rPr>
          <w:sz w:val="20"/>
          <w:szCs w:val="20"/>
          <w:color w:val="auto"/>
        </w:rPr>
      </w:pPr>
      <w:r>
        <w:rPr>
          <w:rFonts w:ascii="Times New Roman" w:cs="Times New Roman" w:eastAsia="Times New Roman" w:hAnsi="Times New Roman"/>
          <w:sz w:val="18"/>
          <w:szCs w:val="18"/>
          <w:color w:val="auto"/>
        </w:rPr>
        <w:t>The Bank’s liquid assets, mostly consisting of cash and due from banks, as well as highly rated corporate debt securities (‘A-‘ or above) aimed to enhance liquidity yields, totaled $0.8 billion at the end of 1Q22, down from $1.0 billion a year ago, and $1.4 billion a quarter ago, as the Bank was able to invest it having experienced strong credit growth, while maintaining liquidity levels in line with regulatory requirements. As of March 31, 2022, $585 million, or 75% of total liquid assets represented deposits placed with the Federal Reserve Bank of New York, while $172 million, or 22% of total liquid assets represented corporate debt securities classified as high quality liquid assets (“HQLA”) in accordance with the specifications of the Basel Committee. As of the end of 1Q22, 4Q21, and 1Q21, liquidity balances to total assets represented 9%, 17% and 16%, respectively, while the liquidity balances to total deposits ratio was 24%, 46% and 31%, respectively.</w:t>
      </w:r>
    </w:p>
    <w:p>
      <w:pPr>
        <w:spacing w:after="0" w:line="222"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The credit investment portfolio, related to the Treasury’s investment management activities aimed to diversify exposures and complement the Bank’s Commercial Portfolio, increased to $919 million at the end of 1Q22, almost five times higher compared to $188 million a year ago, and a 46% increase compared to $631 million a quarter ago. Consequently, the Bank’s total Investment Portfolio amounted to $1,091 million as of March 31, 2022, mostly consisting of readily-quoted</w:t>
      </w:r>
    </w:p>
    <w:p>
      <w:pPr>
        <w:spacing w:after="0" w:line="200" w:lineRule="exact"/>
        <w:rPr>
          <w:sz w:val="20"/>
          <w:szCs w:val="20"/>
          <w:color w:val="auto"/>
        </w:rPr>
      </w:pPr>
    </w:p>
    <w:p>
      <w:pPr>
        <w:spacing w:after="0" w:line="247"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U.S., Latin American and Multilateral securities. Refer to Exhibit VIII for a per-country risk distribution of the Investment Portfolio.</w:t>
      </w:r>
    </w:p>
    <w:p>
      <w:pPr>
        <w:spacing w:after="0" w:line="239"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8"/>
          <w:szCs w:val="18"/>
          <w:color w:val="auto"/>
        </w:rPr>
        <w:t>On the funding side, deposit balances above $3.3 billion at the end of 1Q22, were up 2% YoY and 7% QoQ. The sustained and relevant level of the Bank’s deposit base is enhanced by its Yankee CD program, which complements the short-term funding structure, combined with the steady support from the Bank’s Class A shareholders (i.e.: central banks and their designees), which represented 49% of total deposits at the end of 1Q22, up 3 pp from 46% a year ago and unchanged from the previous quarter. As of March 31, 2022, total deposits represented 45% of total funding sources, unchanged compared to the previous quarter, but down 16 pp compared to 61% a year ago, as the Bank relies on its well diversified funding sources, most recently favoring its ample access to global debt and capital markets, such as the re-opening of a debt placement in the Mexican market for $3 billion Mexican Pesos or its equivalent of approximately $150 million U.S. dollars, and a $300 million global syndicated transaction. In turn, funding through securities sold under repurchase agreements (“Repos”) decreased to $346 million at the end of 1Q22 (+121% YoY; -19% QoQ), while short- and medium-term borrowings and debt totaled $3.6 billion at the end of 1Q22 (+92% YoY; +8% QoQ). Weighted average funding costs resulted in 1.12% for 1Q22 (+2 bps YoY; +17 bps QoQ), mostly reflecting increased market base rates.</w:t>
      </w:r>
    </w:p>
    <w:p>
      <w:pPr>
        <w:spacing w:after="0" w:line="276"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556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404040"/>
              </w:rPr>
              <w:t>(US$ million)</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1Q22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7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4Q21</w:t>
            </w:r>
          </w:p>
        </w:tc>
        <w:tc>
          <w:tcPr>
            <w:tcW w:w="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1Q21</w:t>
            </w:r>
          </w:p>
        </w:tc>
        <w:tc>
          <w:tcPr>
            <w:tcW w:w="100" w:type="dxa"/>
            <w:vAlign w:val="bottom"/>
            <w:tcBorders>
              <w:bottom w:val="single" w:sz="8" w:color="CCEEFF"/>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QoQ (%)</w:t>
            </w:r>
          </w:p>
        </w:tc>
        <w:tc>
          <w:tcPr>
            <w:tcW w:w="200" w:type="dxa"/>
            <w:vAlign w:val="bottom"/>
            <w:tcBorders>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c>
          <w:tcPr>
            <w:tcW w:w="108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57"/>
        </w:trPr>
        <w:tc>
          <w:tcPr>
            <w:tcW w:w="56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7"/>
                <w:szCs w:val="17"/>
                <w:b w:val="1"/>
                <w:bCs w:val="1"/>
                <w:color w:val="auto"/>
              </w:rPr>
              <w:t>Treasury Business Segment:</w:t>
            </w: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7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5660" w:type="dxa"/>
            <w:vAlign w:val="bottom"/>
            <w:gridSpan w:val="2"/>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w:t>
            </w:r>
          </w:p>
        </w:tc>
        <w:tc>
          <w:tcPr>
            <w:tcW w:w="1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w:t>
            </w:r>
          </w:p>
        </w:tc>
        <w:tc>
          <w:tcPr>
            <w:tcW w:w="80" w:type="dxa"/>
            <w:vAlign w:val="bottom"/>
          </w:tcPr>
          <w:p>
            <w:pPr>
              <w:spacing w:after="0"/>
              <w:rPr>
                <w:sz w:val="21"/>
                <w:szCs w:val="21"/>
                <w:color w:val="auto"/>
              </w:rPr>
            </w:pPr>
          </w:p>
        </w:tc>
        <w:tc>
          <w:tcPr>
            <w:tcW w:w="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0.2</w:t>
            </w:r>
          </w:p>
        </w:tc>
        <w:tc>
          <w:tcPr>
            <w:tcW w:w="10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-69</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187</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63"/>
        </w:trPr>
        <w:tc>
          <w:tcPr>
            <w:tcW w:w="566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income (expense)</w:t>
            </w:r>
          </w:p>
        </w:tc>
        <w:tc>
          <w:tcPr>
            <w:tcW w:w="180" w:type="dxa"/>
            <w:vAlign w:val="bottom"/>
            <w:tcBorders>
              <w:bottom w:val="single" w:sz="8" w:color="auto"/>
            </w:tcBorders>
            <w:shd w:val="clear" w:color="auto" w:fill="CCEEFF"/>
          </w:tcPr>
          <w:p>
            <w:pPr>
              <w:spacing w:after="0"/>
              <w:rPr>
                <w:sz w:val="22"/>
                <w:szCs w:val="22"/>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7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w:t>
            </w:r>
          </w:p>
        </w:tc>
        <w:tc>
          <w:tcPr>
            <w:tcW w:w="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(0.2)</w:t>
            </w:r>
          </w:p>
        </w:tc>
        <w:tc>
          <w:tcPr>
            <w:tcW w:w="100" w:type="dxa"/>
            <w:vAlign w:val="bottom"/>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127</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309</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43"/>
        </w:trPr>
        <w:tc>
          <w:tcPr>
            <w:tcW w:w="56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1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0.9</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0.0</w:t>
            </w:r>
          </w:p>
        </w:tc>
        <w:tc>
          <w:tcPr>
            <w:tcW w:w="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0.0</w:t>
            </w:r>
          </w:p>
        </w:tc>
        <w:tc>
          <w:tcPr>
            <w:tcW w:w="100" w:type="dxa"/>
            <w:vAlign w:val="bottom"/>
          </w:tcPr>
          <w:p>
            <w:pPr>
              <w:spacing w:after="0"/>
              <w:rPr>
                <w:sz w:val="21"/>
                <w:szCs w:val="21"/>
                <w:color w:val="auto"/>
              </w:rPr>
            </w:pPr>
          </w:p>
        </w:tc>
        <w:tc>
          <w:tcPr>
            <w:tcW w:w="138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b w:val="1"/>
                <w:bCs w:val="1"/>
                <w:color w:val="auto"/>
              </w:rPr>
              <w:t>n.m.</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n.m.</w:t>
            </w:r>
          </w:p>
        </w:tc>
        <w:tc>
          <w:tcPr>
            <w:tcW w:w="0" w:type="dxa"/>
            <w:vAlign w:val="bottom"/>
          </w:tcPr>
          <w:p>
            <w:pPr>
              <w:spacing w:after="0"/>
              <w:rPr>
                <w:sz w:val="1"/>
                <w:szCs w:val="1"/>
                <w:color w:val="auto"/>
              </w:rPr>
            </w:pPr>
          </w:p>
        </w:tc>
      </w:tr>
      <w:tr>
        <w:trPr>
          <w:trHeight w:val="263"/>
        </w:trPr>
        <w:tc>
          <w:tcPr>
            <w:tcW w:w="566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(0.8)</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(0.0)</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shd w:val="clear" w:color="auto" w:fill="CCEEFF"/>
          </w:tcPr>
          <w:p>
            <w:pPr>
              <w:spacing w:after="0"/>
              <w:rPr>
                <w:sz w:val="22"/>
                <w:szCs w:val="22"/>
                <w:color w:val="auto"/>
              </w:rPr>
            </w:pPr>
          </w:p>
        </w:tc>
        <w:tc>
          <w:tcPr>
            <w:tcW w:w="138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n.m.</w:t>
            </w:r>
          </w:p>
        </w:tc>
        <w:tc>
          <w:tcPr>
            <w:tcW w:w="1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n.m.</w:t>
            </w:r>
          </w:p>
        </w:tc>
        <w:tc>
          <w:tcPr>
            <w:tcW w:w="0" w:type="dxa"/>
            <w:vAlign w:val="bottom"/>
          </w:tcPr>
          <w:p>
            <w:pPr>
              <w:spacing w:after="0"/>
              <w:rPr>
                <w:sz w:val="1"/>
                <w:szCs w:val="1"/>
                <w:color w:val="auto"/>
              </w:rPr>
            </w:pPr>
          </w:p>
        </w:tc>
      </w:tr>
      <w:tr>
        <w:trPr>
          <w:trHeight w:val="250"/>
        </w:trPr>
        <w:tc>
          <w:tcPr>
            <w:tcW w:w="5660" w:type="dxa"/>
            <w:vAlign w:val="bottom"/>
            <w:tcBorders>
              <w:bottom w:val="single" w:sz="8" w:color="CCEEFF"/>
            </w:tcBorders>
            <w:gridSpan w:val="2"/>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1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7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w:t>
            </w:r>
          </w:p>
        </w:tc>
        <w:tc>
          <w:tcPr>
            <w:tcW w:w="8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tcBorders>
              <w:bottom w:val="single" w:sz="8" w:color="CCEEFF"/>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w:t>
            </w:r>
          </w:p>
        </w:tc>
        <w:tc>
          <w:tcPr>
            <w:tcW w:w="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81"/>
        </w:trPr>
        <w:tc>
          <w:tcPr>
            <w:tcW w:w="56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Loss for the segment</w:t>
            </w:r>
          </w:p>
        </w:tc>
        <w:tc>
          <w:tcPr>
            <w:tcW w:w="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w:t>
            </w:r>
          </w:p>
        </w:tc>
        <w:tc>
          <w:tcPr>
            <w:tcW w:w="100" w:type="dxa"/>
            <w:vAlign w:val="bottom"/>
            <w:tcBorders>
              <w:bottom w:val="single" w:sz="8" w:color="CCEEFF"/>
            </w:tcBorders>
            <w:shd w:val="clear" w:color="auto" w:fill="CCEEFF"/>
          </w:tcPr>
          <w:p>
            <w:pPr>
              <w:spacing w:after="0"/>
              <w:rPr>
                <w:sz w:val="24"/>
                <w:szCs w:val="24"/>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7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(2.5)</w:t>
            </w:r>
          </w:p>
        </w:tc>
        <w:tc>
          <w:tcPr>
            <w:tcW w:w="80" w:type="dxa"/>
            <w:vAlign w:val="bottom"/>
            <w:tcBorders>
              <w:bottom w:val="single" w:sz="8" w:color="CCEEFF"/>
            </w:tcBorders>
            <w:shd w:val="clear" w:color="auto" w:fill="CCEEFF"/>
          </w:tcPr>
          <w:p>
            <w:pPr>
              <w:spacing w:after="0"/>
              <w:rPr>
                <w:sz w:val="24"/>
                <w:szCs w:val="24"/>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w:t>
            </w:r>
          </w:p>
        </w:tc>
        <w:tc>
          <w:tcPr>
            <w:tcW w:w="100" w:type="dxa"/>
            <w:vAlign w:val="bottom"/>
            <w:tcBorders>
              <w:bottom w:val="single" w:sz="8" w:color="CCEEFF"/>
            </w:tcBorders>
            <w:shd w:val="clear" w:color="auto" w:fill="CCEEFF"/>
          </w:tcPr>
          <w:p>
            <w:pPr>
              <w:spacing w:after="0"/>
              <w:rPr>
                <w:sz w:val="24"/>
                <w:szCs w:val="24"/>
                <w:color w:val="auto"/>
              </w:rPr>
            </w:pPr>
          </w:p>
        </w:tc>
        <w:tc>
          <w:tcPr>
            <w:tcW w:w="128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15 %</w:t>
            </w:r>
          </w:p>
        </w:tc>
        <w:tc>
          <w:tcPr>
            <w:tcW w:w="100" w:type="dxa"/>
            <w:vAlign w:val="bottom"/>
            <w:tcBorders>
              <w:bottom w:val="single" w:sz="8" w:color="CCEEFF"/>
            </w:tcBorders>
            <w:shd w:val="clear" w:color="auto" w:fill="CCEEFF"/>
          </w:tcPr>
          <w:p>
            <w:pPr>
              <w:spacing w:after="0"/>
              <w:rPr>
                <w:sz w:val="24"/>
                <w:szCs w:val="24"/>
                <w:color w:val="auto"/>
              </w:rPr>
            </w:pPr>
          </w:p>
        </w:tc>
        <w:tc>
          <w:tcPr>
            <w:tcW w:w="128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-2 %</w:t>
            </w:r>
          </w:p>
        </w:tc>
        <w:tc>
          <w:tcPr>
            <w:tcW w:w="0" w:type="dxa"/>
            <w:vAlign w:val="bottom"/>
          </w:tcPr>
          <w:p>
            <w:pPr>
              <w:spacing w:after="0"/>
              <w:rPr>
                <w:sz w:val="1"/>
                <w:szCs w:val="1"/>
                <w:color w:val="auto"/>
              </w:rPr>
            </w:pPr>
          </w:p>
        </w:tc>
      </w:tr>
      <w:tr>
        <w:trPr>
          <w:trHeight w:val="20"/>
        </w:trPr>
        <w:tc>
          <w:tcPr>
            <w:tcW w:w="5660" w:type="dxa"/>
            <w:vAlign w:val="bottom"/>
            <w:tcBorders>
              <w:top w:val="single" w:sz="8" w:color="CCEEFF"/>
              <w:bottom w:val="single" w:sz="8" w:color="CCEEFF"/>
            </w:tcBorders>
            <w:gridSpan w:val="2"/>
            <w:vMerge w:val="restart"/>
          </w:tcPr>
          <w:p>
            <w:pPr>
              <w:ind w:left="20"/>
              <w:spacing w:after="0"/>
              <w:rPr>
                <w:sz w:val="20"/>
                <w:szCs w:val="20"/>
                <w:color w:val="auto"/>
              </w:rPr>
            </w:pPr>
            <w:r>
              <w:rPr>
                <w:rFonts w:ascii="Times New Roman" w:cs="Times New Roman" w:eastAsia="Times New Roman" w:hAnsi="Times New Roman"/>
                <w:sz w:val="18"/>
                <w:szCs w:val="18"/>
                <w:color w:val="auto"/>
              </w:rPr>
              <w:t>"n.m." means not meaningful.</w:t>
            </w: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7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7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0"/>
        </w:trPr>
        <w:tc>
          <w:tcPr>
            <w:tcW w:w="5660" w:type="dxa"/>
            <w:vAlign w:val="bottom"/>
            <w:gridSpan w:val="2"/>
            <w:vMerge w:val="continue"/>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bl>
    <w:p>
      <w:pPr>
        <w:spacing w:after="0" w:line="76"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The Treasury Business Segment recorded a $2.1 million loss for 1Q22 (-2% YoY; +15% QoQ). The 1Q22 loss was mainly impacted by lower net interest income on increased average liquidity during the quarter, as the Bank secured funding in anticipation of strong credit origination which materialized toward the end of the quarter. Treasury results were also impacted by the $0.8 million provision for credit losses closely tied to the increase in the credit investment portfolio.</w:t>
      </w:r>
    </w:p>
    <w:p>
      <w:pPr>
        <w:spacing w:after="0" w:line="200" w:lineRule="exact"/>
        <w:rPr>
          <w:sz w:val="20"/>
          <w:szCs w:val="20"/>
          <w:color w:val="auto"/>
        </w:rPr>
      </w:pPr>
    </w:p>
    <w:p>
      <w:pPr>
        <w:spacing w:after="0" w:line="257"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3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NET INTEREST INCOME AND MARGINS</w:t>
            </w: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263"/>
        </w:trPr>
        <w:tc>
          <w:tcPr>
            <w:tcW w:w="524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404040"/>
              </w:rPr>
              <w:t>(US$ million, except percentages)</w:t>
            </w:r>
          </w:p>
        </w:tc>
        <w:tc>
          <w:tcPr>
            <w:tcW w:w="8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18"/>
                <w:szCs w:val="18"/>
                <w:b w:val="1"/>
                <w:bCs w:val="1"/>
                <w:color w:val="auto"/>
              </w:rPr>
              <w:t>1Q22</w:t>
            </w:r>
          </w:p>
        </w:tc>
        <w:tc>
          <w:tcPr>
            <w:tcW w:w="8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18"/>
                <w:szCs w:val="18"/>
                <w:b w:val="1"/>
                <w:bCs w:val="1"/>
                <w:color w:val="auto"/>
              </w:rPr>
              <w:t>4Q21</w:t>
            </w:r>
          </w:p>
        </w:tc>
        <w:tc>
          <w:tcPr>
            <w:tcW w:w="8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18"/>
                <w:szCs w:val="18"/>
                <w:b w:val="1"/>
                <w:bCs w:val="1"/>
                <w:color w:val="auto"/>
              </w:rPr>
              <w:t>1Q21</w:t>
            </w:r>
          </w:p>
        </w:tc>
        <w:tc>
          <w:tcPr>
            <w:tcW w:w="80" w:type="dxa"/>
            <w:vAlign w:val="bottom"/>
            <w:tcBorders>
              <w:bottom w:val="single" w:sz="8" w:color="CCEEFF"/>
            </w:tcBorders>
          </w:tcPr>
          <w:p>
            <w:pPr>
              <w:spacing w:after="0"/>
              <w:rPr>
                <w:sz w:val="22"/>
                <w:szCs w:val="22"/>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QoQ (%)</w:t>
            </w:r>
          </w:p>
        </w:tc>
        <w:tc>
          <w:tcPr>
            <w:tcW w:w="220" w:type="dxa"/>
            <w:vAlign w:val="bottom"/>
            <w:tcBorders>
              <w:bottom w:val="single" w:sz="8" w:color="auto"/>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2"/>
                <w:szCs w:val="22"/>
                <w:color w:val="auto"/>
              </w:rPr>
            </w:pPr>
          </w:p>
        </w:tc>
      </w:tr>
      <w:tr>
        <w:trPr>
          <w:trHeight w:val="256"/>
        </w:trPr>
        <w:tc>
          <w:tcPr>
            <w:tcW w:w="5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220" w:type="dxa"/>
            <w:vAlign w:val="bottom"/>
            <w:shd w:val="clear" w:color="auto" w:fill="CCEEFF"/>
          </w:tcPr>
          <w:p>
            <w:pPr>
              <w:spacing w:after="0"/>
              <w:rPr>
                <w:sz w:val="22"/>
                <w:szCs w:val="22"/>
                <w:color w:val="auto"/>
              </w:rPr>
            </w:pPr>
          </w:p>
        </w:tc>
        <w:tc>
          <w:tcPr>
            <w:tcW w:w="8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r>
      <w:tr>
        <w:trPr>
          <w:trHeight w:val="250"/>
        </w:trPr>
        <w:tc>
          <w:tcPr>
            <w:tcW w:w="5320" w:type="dxa"/>
            <w:vAlign w:val="bottom"/>
            <w:gridSpan w:val="2"/>
          </w:tcPr>
          <w:p>
            <w:pPr>
              <w:ind w:left="140"/>
              <w:spacing w:after="0"/>
              <w:rPr>
                <w:sz w:val="20"/>
                <w:szCs w:val="20"/>
                <w:color w:val="auto"/>
              </w:rPr>
            </w:pPr>
            <w:r>
              <w:rPr>
                <w:rFonts w:ascii="Times New Roman" w:cs="Times New Roman" w:eastAsia="Times New Roman" w:hAnsi="Times New Roman"/>
                <w:sz w:val="18"/>
                <w:szCs w:val="18"/>
                <w:color w:val="auto"/>
              </w:rPr>
              <w:t>Interest income</w:t>
            </w: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820" w:type="dxa"/>
            <w:vAlign w:val="bottom"/>
          </w:tcPr>
          <w:p>
            <w:pPr>
              <w:ind w:left="260"/>
              <w:spacing w:after="0"/>
              <w:rPr>
                <w:sz w:val="20"/>
                <w:szCs w:val="20"/>
                <w:color w:val="auto"/>
              </w:rPr>
            </w:pPr>
            <w:r>
              <w:rPr>
                <w:rFonts w:ascii="Times New Roman" w:cs="Times New Roman" w:eastAsia="Times New Roman" w:hAnsi="Times New Roman"/>
                <w:sz w:val="18"/>
                <w:szCs w:val="18"/>
                <w:color w:val="auto"/>
              </w:rPr>
              <w:t>45.0</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820" w:type="dxa"/>
            <w:vAlign w:val="bottom"/>
          </w:tcPr>
          <w:p>
            <w:pPr>
              <w:ind w:left="260"/>
              <w:spacing w:after="0"/>
              <w:rPr>
                <w:sz w:val="20"/>
                <w:szCs w:val="20"/>
                <w:color w:val="auto"/>
              </w:rPr>
            </w:pPr>
            <w:r>
              <w:rPr>
                <w:rFonts w:ascii="Times New Roman" w:cs="Times New Roman" w:eastAsia="Times New Roman" w:hAnsi="Times New Roman"/>
                <w:sz w:val="18"/>
                <w:szCs w:val="18"/>
                <w:color w:val="auto"/>
              </w:rPr>
              <w:t>39.0</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820" w:type="dxa"/>
            <w:vAlign w:val="bottom"/>
          </w:tcPr>
          <w:p>
            <w:pPr>
              <w:ind w:left="260"/>
              <w:spacing w:after="0"/>
              <w:rPr>
                <w:sz w:val="20"/>
                <w:szCs w:val="20"/>
                <w:color w:val="auto"/>
              </w:rPr>
            </w:pPr>
            <w:r>
              <w:rPr>
                <w:rFonts w:ascii="Times New Roman" w:cs="Times New Roman" w:eastAsia="Times New Roman" w:hAnsi="Times New Roman"/>
                <w:sz w:val="18"/>
                <w:szCs w:val="18"/>
                <w:color w:val="auto"/>
              </w:rPr>
              <w:t>32.9</w:t>
            </w:r>
          </w:p>
        </w:tc>
        <w:tc>
          <w:tcPr>
            <w:tcW w:w="8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532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Interest expense</w:t>
            </w: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(19.3)</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(14.2)</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(14.0)</w:t>
            </w:r>
          </w:p>
        </w:tc>
        <w:tc>
          <w:tcPr>
            <w:tcW w:w="80" w:type="dxa"/>
            <w:vAlign w:val="bottom"/>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w:t>
            </w:r>
          </w:p>
        </w:tc>
        <w:tc>
          <w:tcPr>
            <w:tcW w:w="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auto"/>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6"/>
        </w:trPr>
        <w:tc>
          <w:tcPr>
            <w:tcW w:w="5320" w:type="dxa"/>
            <w:vAlign w:val="bottom"/>
            <w:gridSpan w:val="2"/>
          </w:tcPr>
          <w:p>
            <w:pPr>
              <w:ind w:left="20"/>
              <w:spacing w:after="0"/>
              <w:rPr>
                <w:sz w:val="20"/>
                <w:szCs w:val="20"/>
                <w:color w:val="auto"/>
              </w:rPr>
            </w:pPr>
            <w:r>
              <w:rPr>
                <w:rFonts w:ascii="Times New Roman" w:cs="Times New Roman" w:eastAsia="Times New Roman" w:hAnsi="Times New Roman"/>
                <w:sz w:val="17"/>
                <w:szCs w:val="17"/>
                <w:b w:val="1"/>
                <w:bCs w:val="1"/>
                <w:color w:val="auto"/>
              </w:rPr>
              <w:t>Net Interest Income ("NII")</w:t>
            </w: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82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rPr>
              <w:t>25.7</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82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rPr>
              <w:t>24.8</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82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rPr>
              <w:t>18.9</w:t>
            </w:r>
          </w:p>
        </w:tc>
        <w:tc>
          <w:tcPr>
            <w:tcW w:w="80" w:type="dxa"/>
            <w:vAlign w:val="bottom"/>
          </w:tcPr>
          <w:p>
            <w:pPr>
              <w:spacing w:after="0"/>
              <w:rPr>
                <w:sz w:val="22"/>
                <w:szCs w:val="22"/>
                <w:color w:val="auto"/>
              </w:rPr>
            </w:pPr>
          </w:p>
        </w:tc>
        <w:tc>
          <w:tcPr>
            <w:tcW w:w="124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4 %</w:t>
            </w:r>
          </w:p>
        </w:tc>
        <w:tc>
          <w:tcPr>
            <w:tcW w:w="10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36 %</w:t>
            </w:r>
          </w:p>
        </w:tc>
      </w:tr>
      <w:tr>
        <w:trPr>
          <w:trHeight w:val="20"/>
        </w:trPr>
        <w:tc>
          <w:tcPr>
            <w:tcW w:w="5240" w:type="dxa"/>
            <w:vAlign w:val="bottom"/>
            <w:tcBorders>
              <w:bottom w:val="single" w:sz="8" w:color="CCEEFF"/>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r>
      <w:tr>
        <w:trPr>
          <w:trHeight w:val="224"/>
        </w:trPr>
        <w:tc>
          <w:tcPr>
            <w:tcW w:w="5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r>
      <w:tr>
        <w:trPr>
          <w:trHeight w:val="250"/>
        </w:trPr>
        <w:tc>
          <w:tcPr>
            <w:tcW w:w="5320" w:type="dxa"/>
            <w:vAlign w:val="bottom"/>
            <w:gridSpan w:val="2"/>
          </w:tcPr>
          <w:p>
            <w:pPr>
              <w:ind w:left="20"/>
              <w:spacing w:after="0"/>
              <w:rPr>
                <w:sz w:val="20"/>
                <w:szCs w:val="20"/>
                <w:color w:val="auto"/>
              </w:rPr>
            </w:pPr>
            <w:r>
              <w:rPr>
                <w:rFonts w:ascii="Times New Roman" w:cs="Times New Roman" w:eastAsia="Times New Roman" w:hAnsi="Times New Roman"/>
                <w:sz w:val="17"/>
                <w:szCs w:val="17"/>
                <w:b w:val="1"/>
                <w:bCs w:val="1"/>
                <w:color w:val="auto"/>
              </w:rPr>
              <w:t>Net Interest Spread ("NIS")</w:t>
            </w:r>
          </w:p>
        </w:tc>
        <w:tc>
          <w:tcPr>
            <w:tcW w:w="220" w:type="dxa"/>
            <w:vAlign w:val="bottom"/>
          </w:tcPr>
          <w:p>
            <w:pPr>
              <w:spacing w:after="0"/>
              <w:rPr>
                <w:sz w:val="21"/>
                <w:szCs w:val="21"/>
                <w:color w:val="auto"/>
              </w:rPr>
            </w:pPr>
          </w:p>
        </w:tc>
        <w:tc>
          <w:tcPr>
            <w:tcW w:w="820" w:type="dxa"/>
            <w:vAlign w:val="bottom"/>
          </w:tcPr>
          <w:p>
            <w:pPr>
              <w:ind w:left="260"/>
              <w:spacing w:after="0"/>
              <w:rPr>
                <w:sz w:val="20"/>
                <w:szCs w:val="20"/>
                <w:color w:val="auto"/>
              </w:rPr>
            </w:pPr>
            <w:r>
              <w:rPr>
                <w:rFonts w:ascii="Times New Roman" w:cs="Times New Roman" w:eastAsia="Times New Roman" w:hAnsi="Times New Roman"/>
                <w:sz w:val="18"/>
                <w:szCs w:val="18"/>
                <w:b w:val="1"/>
                <w:bCs w:val="1"/>
                <w:color w:val="auto"/>
                <w:w w:val="99"/>
              </w:rPr>
              <w:t>1.15 %</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20" w:type="dxa"/>
            <w:vAlign w:val="bottom"/>
          </w:tcPr>
          <w:p>
            <w:pPr>
              <w:ind w:left="260"/>
              <w:spacing w:after="0"/>
              <w:rPr>
                <w:sz w:val="20"/>
                <w:szCs w:val="20"/>
                <w:color w:val="auto"/>
              </w:rPr>
            </w:pPr>
            <w:r>
              <w:rPr>
                <w:rFonts w:ascii="Times New Roman" w:cs="Times New Roman" w:eastAsia="Times New Roman" w:hAnsi="Times New Roman"/>
                <w:sz w:val="18"/>
                <w:szCs w:val="18"/>
                <w:b w:val="1"/>
                <w:bCs w:val="1"/>
                <w:color w:val="auto"/>
                <w:w w:val="99"/>
              </w:rPr>
              <w:t>1.26 %</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20" w:type="dxa"/>
            <w:vAlign w:val="bottom"/>
          </w:tcPr>
          <w:p>
            <w:pPr>
              <w:ind w:left="260"/>
              <w:spacing w:after="0"/>
              <w:rPr>
                <w:sz w:val="20"/>
                <w:szCs w:val="20"/>
                <w:color w:val="auto"/>
              </w:rPr>
            </w:pPr>
            <w:r>
              <w:rPr>
                <w:rFonts w:ascii="Times New Roman" w:cs="Times New Roman" w:eastAsia="Times New Roman" w:hAnsi="Times New Roman"/>
                <w:sz w:val="18"/>
                <w:szCs w:val="18"/>
                <w:b w:val="1"/>
                <w:bCs w:val="1"/>
                <w:color w:val="auto"/>
                <w:w w:val="99"/>
              </w:rPr>
              <w:t>1.04 %</w:t>
            </w:r>
          </w:p>
        </w:tc>
        <w:tc>
          <w:tcPr>
            <w:tcW w:w="80" w:type="dxa"/>
            <w:vAlign w:val="bottom"/>
          </w:tcPr>
          <w:p>
            <w:pPr>
              <w:spacing w:after="0"/>
              <w:rPr>
                <w:sz w:val="21"/>
                <w:szCs w:val="21"/>
                <w:color w:val="auto"/>
              </w:rPr>
            </w:pPr>
          </w:p>
        </w:tc>
        <w:tc>
          <w:tcPr>
            <w:tcW w:w="124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-8 %</w:t>
            </w:r>
          </w:p>
        </w:tc>
        <w:tc>
          <w:tcPr>
            <w:tcW w:w="100" w:type="dxa"/>
            <w:vAlign w:val="bottom"/>
          </w:tcPr>
          <w:p>
            <w:pPr>
              <w:spacing w:after="0"/>
              <w:rPr>
                <w:sz w:val="21"/>
                <w:szCs w:val="21"/>
                <w:color w:val="auto"/>
              </w:rPr>
            </w:pPr>
          </w:p>
        </w:tc>
        <w:tc>
          <w:tcPr>
            <w:tcW w:w="122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11 %</w:t>
            </w:r>
          </w:p>
        </w:tc>
      </w:tr>
      <w:tr>
        <w:trPr>
          <w:trHeight w:val="263"/>
        </w:trPr>
        <w:tc>
          <w:tcPr>
            <w:tcW w:w="524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240" w:type="dxa"/>
            <w:vAlign w:val="bottom"/>
            <w:tcBorders>
              <w:bottom w:val="single" w:sz="8" w:color="auto"/>
            </w:tcBorders>
            <w:gridSpan w:val="2"/>
            <w:shd w:val="clear" w:color="auto" w:fill="CCEEFF"/>
          </w:tcPr>
          <w:p>
            <w:pPr>
              <w:spacing w:after="0"/>
              <w:rPr>
                <w:sz w:val="22"/>
                <w:szCs w:val="22"/>
                <w:color w:val="auto"/>
              </w:rPr>
            </w:pPr>
          </w:p>
        </w:tc>
        <w:tc>
          <w:tcPr>
            <w:tcW w:w="100" w:type="dxa"/>
            <w:vAlign w:val="bottom"/>
            <w:tcBorders>
              <w:bottom w:val="single" w:sz="8" w:color="auto"/>
            </w:tcBorders>
            <w:shd w:val="clear" w:color="auto" w:fill="CCEEFF"/>
          </w:tcPr>
          <w:p>
            <w:pPr>
              <w:spacing w:after="0"/>
              <w:rPr>
                <w:sz w:val="22"/>
                <w:szCs w:val="22"/>
                <w:color w:val="auto"/>
              </w:rPr>
            </w:pPr>
          </w:p>
        </w:tc>
        <w:tc>
          <w:tcPr>
            <w:tcW w:w="1220" w:type="dxa"/>
            <w:vAlign w:val="bottom"/>
            <w:tcBorders>
              <w:bottom w:val="single" w:sz="8" w:color="auto"/>
            </w:tcBorders>
            <w:gridSpan w:val="2"/>
            <w:shd w:val="clear" w:color="auto" w:fill="CCEEFF"/>
          </w:tcPr>
          <w:p>
            <w:pPr>
              <w:spacing w:after="0"/>
              <w:rPr>
                <w:sz w:val="22"/>
                <w:szCs w:val="22"/>
                <w:color w:val="auto"/>
              </w:rPr>
            </w:pPr>
          </w:p>
        </w:tc>
      </w:tr>
      <w:tr>
        <w:trPr>
          <w:trHeight w:val="243"/>
        </w:trPr>
        <w:tc>
          <w:tcPr>
            <w:tcW w:w="5320" w:type="dxa"/>
            <w:vAlign w:val="bottom"/>
            <w:gridSpan w:val="2"/>
          </w:tcPr>
          <w:p>
            <w:pPr>
              <w:ind w:left="20"/>
              <w:spacing w:after="0"/>
              <w:rPr>
                <w:sz w:val="20"/>
                <w:szCs w:val="20"/>
                <w:color w:val="auto"/>
              </w:rPr>
            </w:pPr>
            <w:r>
              <w:rPr>
                <w:rFonts w:ascii="Times New Roman" w:cs="Times New Roman" w:eastAsia="Times New Roman" w:hAnsi="Times New Roman"/>
                <w:sz w:val="17"/>
                <w:szCs w:val="17"/>
                <w:b w:val="1"/>
                <w:bCs w:val="1"/>
                <w:color w:val="auto"/>
              </w:rPr>
              <w:t>Net Interest Margin ("NIM")</w:t>
            </w:r>
          </w:p>
        </w:tc>
        <w:tc>
          <w:tcPr>
            <w:tcW w:w="220" w:type="dxa"/>
            <w:vAlign w:val="bottom"/>
            <w:tcBorders>
              <w:bottom w:val="single" w:sz="8" w:color="auto"/>
            </w:tcBorders>
          </w:tcPr>
          <w:p>
            <w:pPr>
              <w:spacing w:after="0"/>
              <w:rPr>
                <w:sz w:val="21"/>
                <w:szCs w:val="21"/>
                <w:color w:val="auto"/>
              </w:rPr>
            </w:pPr>
          </w:p>
        </w:tc>
        <w:tc>
          <w:tcPr>
            <w:tcW w:w="82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w w:val="99"/>
              </w:rPr>
              <w:t>1.32 %</w:t>
            </w:r>
          </w:p>
        </w:tc>
        <w:tc>
          <w:tcPr>
            <w:tcW w:w="80" w:type="dxa"/>
            <w:vAlign w:val="bottom"/>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82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w w:val="99"/>
              </w:rPr>
              <w:t>1.42 %</w:t>
            </w:r>
          </w:p>
        </w:tc>
        <w:tc>
          <w:tcPr>
            <w:tcW w:w="80" w:type="dxa"/>
            <w:vAlign w:val="bottom"/>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82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w w:val="99"/>
              </w:rPr>
              <w:t>1.24 %</w:t>
            </w:r>
          </w:p>
        </w:tc>
        <w:tc>
          <w:tcPr>
            <w:tcW w:w="80" w:type="dxa"/>
            <w:vAlign w:val="bottom"/>
          </w:tcPr>
          <w:p>
            <w:pPr>
              <w:spacing w:after="0"/>
              <w:rPr>
                <w:sz w:val="21"/>
                <w:szCs w:val="21"/>
                <w:color w:val="auto"/>
              </w:rPr>
            </w:pPr>
          </w:p>
        </w:tc>
        <w:tc>
          <w:tcPr>
            <w:tcW w:w="124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-7 %</w:t>
            </w:r>
          </w:p>
        </w:tc>
        <w:tc>
          <w:tcPr>
            <w:tcW w:w="100" w:type="dxa"/>
            <w:vAlign w:val="bottom"/>
            <w:tcBorders>
              <w:bottom w:val="single" w:sz="8" w:color="auto"/>
            </w:tcBorders>
          </w:tcPr>
          <w:p>
            <w:pPr>
              <w:spacing w:after="0"/>
              <w:rPr>
                <w:sz w:val="21"/>
                <w:szCs w:val="21"/>
                <w:color w:val="auto"/>
              </w:rPr>
            </w:pPr>
          </w:p>
        </w:tc>
        <w:tc>
          <w:tcPr>
            <w:tcW w:w="12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6 %</w:t>
            </w:r>
          </w:p>
        </w:tc>
      </w:tr>
    </w:tbl>
    <w:p>
      <w:pPr>
        <w:spacing w:after="0" w:line="63" w:lineRule="exact"/>
        <w:rPr>
          <w:sz w:val="20"/>
          <w:szCs w:val="20"/>
          <w:color w:val="auto"/>
        </w:rPr>
      </w:pPr>
    </w:p>
    <w:p>
      <w:pPr>
        <w:jc w:val="both"/>
        <w:spacing w:after="0" w:line="242" w:lineRule="auto"/>
        <w:rPr>
          <w:sz w:val="20"/>
          <w:szCs w:val="20"/>
          <w:color w:val="auto"/>
        </w:rPr>
      </w:pPr>
      <w:r>
        <w:rPr>
          <w:rFonts w:ascii="Times New Roman" w:cs="Times New Roman" w:eastAsia="Times New Roman" w:hAnsi="Times New Roman"/>
          <w:sz w:val="18"/>
          <w:szCs w:val="18"/>
          <w:color w:val="auto"/>
        </w:rPr>
        <w:t>NII totaled $25.7 million for 1Q22 (+36% YoY; +4% QoQ), resulting from the effect of higher average loan volumes (+24% YoY; +9% QoQ) and net lending rates (+13 bps YoY; +20 bps QoQ), partially offset by temporarily increased liquidity levels on securing funding to support strong credit origination.</w:t>
      </w: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FEES AND COMMISSIONS</w:t>
      </w:r>
    </w:p>
    <w:p>
      <w:pPr>
        <w:spacing w:after="0" w:line="20" w:lineRule="exact"/>
        <w:rPr>
          <w:sz w:val="20"/>
          <w:szCs w:val="20"/>
          <w:color w:val="auto"/>
        </w:rPr>
      </w:pPr>
    </w:p>
    <w:p>
      <w:pPr>
        <w:jc w:val="both"/>
        <w:spacing w:after="0" w:line="246" w:lineRule="auto"/>
        <w:rPr>
          <w:sz w:val="20"/>
          <w:szCs w:val="20"/>
          <w:color w:val="auto"/>
        </w:rPr>
      </w:pPr>
      <w:r>
        <w:rPr>
          <w:rFonts w:ascii="Times New Roman" w:cs="Times New Roman" w:eastAsia="Times New Roman" w:hAnsi="Times New Roman"/>
          <w:sz w:val="18"/>
          <w:szCs w:val="18"/>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15" w:lineRule="exact"/>
        <w:rPr>
          <w:sz w:val="20"/>
          <w:szCs w:val="20"/>
          <w:color w:val="auto"/>
        </w:rPr>
      </w:pPr>
    </w:p>
    <w:tbl>
      <w:tblPr>
        <w:tblLayout w:type="fixed"/>
        <w:tblInd w:w="0" w:type="dxa"/>
        <w:tblCellMar>
          <w:top w:w="0" w:type="dxa"/>
          <w:left w:w="0" w:type="dxa"/>
          <w:bottom w:w="0" w:type="dxa"/>
          <w:right w:w="0" w:type="dxa"/>
        </w:tblCellMar>
      </w:tblPr>
      <w:tr>
        <w:trPr>
          <w:trHeight w:val="245"/>
        </w:trPr>
        <w:tc>
          <w:tcPr>
            <w:tcW w:w="5540" w:type="dxa"/>
            <w:vAlign w:val="bottom"/>
            <w:tcBorders>
              <w:bottom w:val="single" w:sz="8" w:color="211D1E"/>
            </w:tcBorders>
          </w:tcPr>
          <w:p>
            <w:pPr>
              <w:ind w:left="20"/>
              <w:spacing w:after="0"/>
              <w:rPr>
                <w:sz w:val="20"/>
                <w:szCs w:val="20"/>
                <w:color w:val="auto"/>
              </w:rPr>
            </w:pPr>
            <w:r>
              <w:rPr>
                <w:rFonts w:ascii="Times New Roman" w:cs="Times New Roman" w:eastAsia="Times New Roman" w:hAnsi="Times New Roman"/>
                <w:sz w:val="18"/>
                <w:szCs w:val="18"/>
                <w:color w:val="auto"/>
              </w:rPr>
              <w:t>(US$ million)</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800" w:type="dxa"/>
            <w:vAlign w:val="bottom"/>
            <w:tcBorders>
              <w:bottom w:val="single" w:sz="8" w:color="auto"/>
            </w:tcBorders>
            <w:gridSpan w:val="2"/>
          </w:tcPr>
          <w:p>
            <w:pPr>
              <w:ind w:left="80"/>
              <w:spacing w:after="0"/>
              <w:rPr>
                <w:sz w:val="20"/>
                <w:szCs w:val="20"/>
                <w:color w:val="auto"/>
              </w:rPr>
            </w:pPr>
            <w:r>
              <w:rPr>
                <w:rFonts w:ascii="Times New Roman" w:cs="Times New Roman" w:eastAsia="Times New Roman" w:hAnsi="Times New Roman"/>
                <w:sz w:val="18"/>
                <w:szCs w:val="18"/>
                <w:b w:val="1"/>
                <w:bCs w:val="1"/>
                <w:color w:val="auto"/>
              </w:rPr>
              <w:t>1Q22</w:t>
            </w:r>
          </w:p>
        </w:tc>
        <w:tc>
          <w:tcPr>
            <w:tcW w:w="1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4Q21</w:t>
            </w:r>
          </w:p>
        </w:tc>
        <w:tc>
          <w:tcPr>
            <w:tcW w:w="100" w:type="dxa"/>
            <w:vAlign w:val="bottom"/>
            <w:tcBorders>
              <w:bottom w:val="single" w:sz="8" w:color="CCEEFF"/>
            </w:tcBorders>
          </w:tcPr>
          <w:p>
            <w:pPr>
              <w:spacing w:after="0"/>
              <w:rPr>
                <w:sz w:val="21"/>
                <w:szCs w:val="21"/>
                <w:color w:val="auto"/>
              </w:rPr>
            </w:pPr>
          </w:p>
        </w:tc>
        <w:tc>
          <w:tcPr>
            <w:tcW w:w="180" w:type="dxa"/>
            <w:vAlign w:val="bottom"/>
            <w:tcBorders>
              <w:bottom w:val="single" w:sz="8" w:color="auto"/>
            </w:tcBorders>
          </w:tcPr>
          <w:p>
            <w:pPr>
              <w:spacing w:after="0"/>
              <w:rPr>
                <w:sz w:val="21"/>
                <w:szCs w:val="21"/>
                <w:color w:val="auto"/>
              </w:rPr>
            </w:pPr>
          </w:p>
        </w:tc>
        <w:tc>
          <w:tcPr>
            <w:tcW w:w="70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1Q21</w:t>
            </w:r>
          </w:p>
        </w:tc>
        <w:tc>
          <w:tcPr>
            <w:tcW w:w="100" w:type="dxa"/>
            <w:vAlign w:val="bottom"/>
            <w:tcBorders>
              <w:bottom w:val="single" w:sz="8" w:color="CCEEFF"/>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QoQ (%)</w:t>
            </w:r>
          </w:p>
        </w:tc>
        <w:tc>
          <w:tcPr>
            <w:tcW w:w="200" w:type="dxa"/>
            <w:vAlign w:val="bottom"/>
            <w:tcBorders>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c>
          <w:tcPr>
            <w:tcW w:w="108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1"/>
                <w:szCs w:val="21"/>
                <w:color w:val="auto"/>
              </w:rPr>
            </w:pPr>
          </w:p>
        </w:tc>
      </w:tr>
      <w:tr>
        <w:trPr>
          <w:trHeight w:val="256"/>
        </w:trPr>
        <w:tc>
          <w:tcPr>
            <w:tcW w:w="564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Letters of credit fees</w:t>
            </w: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w:t>
            </w: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0"/>
        </w:trPr>
        <w:tc>
          <w:tcPr>
            <w:tcW w:w="564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Loan syndication fees</w:t>
            </w:r>
          </w:p>
        </w:tc>
        <w:tc>
          <w:tcPr>
            <w:tcW w:w="1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w:t>
            </w:r>
          </w:p>
        </w:tc>
        <w:tc>
          <w:tcPr>
            <w:tcW w:w="1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-82</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328</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63"/>
        </w:trPr>
        <w:tc>
          <w:tcPr>
            <w:tcW w:w="564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commissions, net</w:t>
            </w: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0.2</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0.7</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w:t>
            </w: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-71</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564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Fees and Commissions, net</w:t>
            </w:r>
          </w:p>
        </w:tc>
        <w:tc>
          <w:tcPr>
            <w:tcW w:w="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3.9</w:t>
            </w:r>
          </w:p>
        </w:tc>
        <w:tc>
          <w:tcPr>
            <w:tcW w:w="100" w:type="dxa"/>
            <w:vAlign w:val="bottom"/>
          </w:tcPr>
          <w:p>
            <w:pPr>
              <w:spacing w:after="0"/>
              <w:rPr>
                <w:sz w:val="22"/>
                <w:szCs w:val="22"/>
                <w:color w:val="auto"/>
              </w:rPr>
            </w:pPr>
          </w:p>
        </w:tc>
        <w:tc>
          <w:tcPr>
            <w:tcW w:w="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6.2</w:t>
            </w:r>
          </w:p>
        </w:tc>
        <w:tc>
          <w:tcPr>
            <w:tcW w:w="100" w:type="dxa"/>
            <w:vAlign w:val="bottom"/>
          </w:tcPr>
          <w:p>
            <w:pPr>
              <w:spacing w:after="0"/>
              <w:rPr>
                <w:sz w:val="22"/>
                <w:szCs w:val="22"/>
                <w:color w:val="auto"/>
              </w:rPr>
            </w:pPr>
          </w:p>
        </w:tc>
        <w:tc>
          <w:tcPr>
            <w:tcW w:w="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3.0</w:t>
            </w:r>
          </w:p>
        </w:tc>
        <w:tc>
          <w:tcPr>
            <w:tcW w:w="100" w:type="dxa"/>
            <w:vAlign w:val="bottom"/>
          </w:tcPr>
          <w:p>
            <w:pPr>
              <w:spacing w:after="0"/>
              <w:rPr>
                <w:sz w:val="22"/>
                <w:szCs w:val="22"/>
                <w:color w:val="auto"/>
              </w:rPr>
            </w:pPr>
          </w:p>
        </w:tc>
        <w:tc>
          <w:tcPr>
            <w:tcW w:w="128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-37 %</w:t>
            </w:r>
          </w:p>
        </w:tc>
        <w:tc>
          <w:tcPr>
            <w:tcW w:w="100" w:type="dxa"/>
            <w:vAlign w:val="bottom"/>
          </w:tcPr>
          <w:p>
            <w:pPr>
              <w:spacing w:after="0"/>
              <w:rPr>
                <w:sz w:val="22"/>
                <w:szCs w:val="22"/>
                <w:color w:val="auto"/>
              </w:rPr>
            </w:pPr>
          </w:p>
        </w:tc>
        <w:tc>
          <w:tcPr>
            <w:tcW w:w="128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30 %</w:t>
            </w:r>
          </w:p>
        </w:tc>
      </w:tr>
      <w:tr>
        <w:trPr>
          <w:trHeight w:val="20"/>
        </w:trPr>
        <w:tc>
          <w:tcPr>
            <w:tcW w:w="55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r>
    </w:tbl>
    <w:p>
      <w:pPr>
        <w:spacing w:after="0" w:line="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Fees and Commissions, net, totaled $3.9 million in 1Q22 (+30% YoY; -37% QoQ), mostly driven by the sustained growth trend performance in fees from the letters of credit business (+31% YoY; +6% QoQ). Compared to the 4Q21, the positive trend in letters of credit was offset by the uneven nature of the Bank’s transaction-based syndication business.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11140"/>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6780" w:type="dxa"/>
            <w:vAlign w:val="bottom"/>
            <w:gridSpan w:val="8"/>
          </w:tcPr>
          <w:p>
            <w:pPr>
              <w:spacing w:after="0"/>
              <w:rPr>
                <w:sz w:val="20"/>
                <w:szCs w:val="20"/>
                <w:color w:val="auto"/>
              </w:rPr>
            </w:pPr>
            <w:r>
              <w:rPr>
                <w:rFonts w:ascii="Times New Roman" w:cs="Times New Roman" w:eastAsia="Times New Roman" w:hAnsi="Times New Roman"/>
                <w:sz w:val="18"/>
                <w:szCs w:val="18"/>
                <w:b w:val="1"/>
                <w:bCs w:val="1"/>
                <w:color w:val="auto"/>
              </w:rPr>
              <w:t>PORTFOLIO QUALITY AND TOTAL ALLOWANCE FOR CREDIT LOSSES</w:t>
            </w: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366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(US$ million, except percentages)</w:t>
            </w:r>
          </w:p>
        </w:tc>
        <w:tc>
          <w:tcPr>
            <w:tcW w:w="10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31-Mar-22</w:t>
            </w:r>
          </w:p>
        </w:tc>
        <w:tc>
          <w:tcPr>
            <w:tcW w:w="10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31-Dec-21</w:t>
            </w:r>
          </w:p>
        </w:tc>
        <w:tc>
          <w:tcPr>
            <w:tcW w:w="8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30-Sep-21</w:t>
            </w:r>
          </w:p>
        </w:tc>
        <w:tc>
          <w:tcPr>
            <w:tcW w:w="10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30-Jun-21</w:t>
            </w:r>
          </w:p>
        </w:tc>
        <w:tc>
          <w:tcPr>
            <w:tcW w:w="80" w:type="dxa"/>
            <w:vAlign w:val="bottom"/>
            <w:tcBorders>
              <w:bottom w:val="single" w:sz="8" w:color="CCEEFF"/>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31-Mar-21</w:t>
            </w:r>
          </w:p>
        </w:tc>
        <w:tc>
          <w:tcPr>
            <w:tcW w:w="0" w:type="dxa"/>
            <w:vAlign w:val="bottom"/>
          </w:tcPr>
          <w:p>
            <w:pPr>
              <w:spacing w:after="0"/>
              <w:rPr>
                <w:sz w:val="1"/>
                <w:szCs w:val="1"/>
                <w:color w:val="auto"/>
              </w:rPr>
            </w:pPr>
          </w:p>
        </w:tc>
      </w:tr>
      <w:tr>
        <w:trPr>
          <w:trHeight w:val="256"/>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loan losses</w:t>
            </w:r>
          </w:p>
        </w:tc>
        <w:tc>
          <w:tcPr>
            <w:tcW w:w="2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Balance at beginning of the period</w:t>
            </w: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41.5</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41.4</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41.4</w:t>
            </w:r>
          </w:p>
        </w:tc>
        <w:tc>
          <w:tcPr>
            <w:tcW w:w="100" w:type="dxa"/>
            <w:vAlign w:val="bottom"/>
          </w:tcPr>
          <w:p>
            <w:pPr>
              <w:spacing w:after="0"/>
              <w:rPr>
                <w:sz w:val="21"/>
                <w:szCs w:val="21"/>
                <w:color w:val="auto"/>
              </w:rPr>
            </w:pP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41.1</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41.2</w:t>
            </w:r>
          </w:p>
        </w:tc>
        <w:tc>
          <w:tcPr>
            <w:tcW w:w="0" w:type="dxa"/>
            <w:vAlign w:val="bottom"/>
          </w:tcPr>
          <w:p>
            <w:pPr>
              <w:spacing w:after="0"/>
              <w:rPr>
                <w:sz w:val="1"/>
                <w:szCs w:val="1"/>
                <w:color w:val="auto"/>
              </w:rPr>
            </w:pPr>
          </w:p>
        </w:tc>
      </w:tr>
      <w:tr>
        <w:trPr>
          <w:trHeight w:val="263"/>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Provisions (reversals)</w:t>
            </w: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7.7</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0.1</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0.1</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shd w:val="clear" w:color="auto" w:fill="CCEEFF"/>
          </w:tcPr>
          <w:p>
            <w:pPr>
              <w:jc w:val="right"/>
              <w:ind w:right="110"/>
              <w:spacing w:after="0"/>
              <w:rPr>
                <w:sz w:val="20"/>
                <w:szCs w:val="20"/>
                <w:color w:val="auto"/>
              </w:rPr>
            </w:pPr>
            <w:r>
              <w:rPr>
                <w:rFonts w:ascii="Times New Roman" w:cs="Times New Roman" w:eastAsia="Times New Roman" w:hAnsi="Times New Roman"/>
                <w:sz w:val="18"/>
                <w:szCs w:val="18"/>
                <w:color w:val="auto"/>
              </w:rPr>
              <w:t>(0.1)</w:t>
            </w:r>
          </w:p>
        </w:tc>
        <w:tc>
          <w:tcPr>
            <w:tcW w:w="0" w:type="dxa"/>
            <w:vAlign w:val="bottom"/>
          </w:tcPr>
          <w:p>
            <w:pPr>
              <w:spacing w:after="0"/>
              <w:rPr>
                <w:sz w:val="1"/>
                <w:szCs w:val="1"/>
                <w:color w:val="auto"/>
              </w:rPr>
            </w:pPr>
          </w:p>
        </w:tc>
      </w:tr>
      <w:tr>
        <w:trPr>
          <w:trHeight w:val="250"/>
        </w:trPr>
        <w:tc>
          <w:tcPr>
            <w:tcW w:w="376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8"/>
                <w:szCs w:val="18"/>
                <w:color w:val="auto"/>
              </w:rPr>
              <w:t>Write-offs, net of recoveries</w:t>
            </w: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0.0</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1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0.2</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0" w:type="dxa"/>
            <w:vAlign w:val="bottom"/>
          </w:tcPr>
          <w:p>
            <w:pPr>
              <w:spacing w:after="0"/>
              <w:rPr>
                <w:sz w:val="1"/>
                <w:szCs w:val="1"/>
                <w:color w:val="auto"/>
              </w:rPr>
            </w:pPr>
          </w:p>
        </w:tc>
      </w:tr>
      <w:tr>
        <w:trPr>
          <w:trHeight w:val="282"/>
        </w:trPr>
        <w:tc>
          <w:tcPr>
            <w:tcW w:w="37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End of period balance</w:t>
            </w: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49.2</w:t>
            </w:r>
          </w:p>
        </w:tc>
        <w:tc>
          <w:tcPr>
            <w:tcW w:w="100" w:type="dxa"/>
            <w:vAlign w:val="bottom"/>
            <w:tcBorders>
              <w:bottom w:val="single" w:sz="8" w:color="CCEEFF"/>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41.5</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41.4</w:t>
            </w:r>
          </w:p>
        </w:tc>
        <w:tc>
          <w:tcPr>
            <w:tcW w:w="10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41.4</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41.1</w:t>
            </w:r>
          </w:p>
        </w:tc>
        <w:tc>
          <w:tcPr>
            <w:tcW w:w="0" w:type="dxa"/>
            <w:vAlign w:val="bottom"/>
          </w:tcPr>
          <w:p>
            <w:pPr>
              <w:spacing w:after="0"/>
              <w:rPr>
                <w:sz w:val="1"/>
                <w:szCs w:val="1"/>
                <w:color w:val="auto"/>
              </w:rPr>
            </w:pPr>
          </w:p>
        </w:tc>
      </w:tr>
      <w:tr>
        <w:trPr>
          <w:trHeight w:val="20"/>
        </w:trPr>
        <w:tc>
          <w:tcPr>
            <w:tcW w:w="36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1"/>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loan commitments and financial</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8"/>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guarantee contract losses</w:t>
            </w:r>
          </w:p>
        </w:tc>
        <w:tc>
          <w:tcPr>
            <w:tcW w:w="20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Balance at beginning of the period</w:t>
            </w: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3.8</w:t>
            </w:r>
          </w:p>
        </w:tc>
        <w:tc>
          <w:tcPr>
            <w:tcW w:w="100" w:type="dxa"/>
            <w:vAlign w:val="bottom"/>
          </w:tcPr>
          <w:p>
            <w:pPr>
              <w:spacing w:after="0"/>
              <w:rPr>
                <w:sz w:val="21"/>
                <w:szCs w:val="21"/>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3.7</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3.8</w:t>
            </w:r>
          </w:p>
        </w:tc>
        <w:tc>
          <w:tcPr>
            <w:tcW w:w="100" w:type="dxa"/>
            <w:vAlign w:val="bottom"/>
          </w:tcPr>
          <w:p>
            <w:pPr>
              <w:spacing w:after="0"/>
              <w:rPr>
                <w:sz w:val="21"/>
                <w:szCs w:val="21"/>
                <w:color w:val="auto"/>
              </w:rPr>
            </w:pP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2.9</w:t>
            </w:r>
          </w:p>
        </w:tc>
        <w:tc>
          <w:tcPr>
            <w:tcW w:w="80" w:type="dxa"/>
            <w:vAlign w:val="bottom"/>
          </w:tcPr>
          <w:p>
            <w:pPr>
              <w:spacing w:after="0"/>
              <w:rPr>
                <w:sz w:val="21"/>
                <w:szCs w:val="21"/>
                <w:color w:val="auto"/>
              </w:rPr>
            </w:pPr>
          </w:p>
        </w:tc>
        <w:tc>
          <w:tcPr>
            <w:tcW w:w="22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2.9</w:t>
            </w:r>
          </w:p>
        </w:tc>
        <w:tc>
          <w:tcPr>
            <w:tcW w:w="0" w:type="dxa"/>
            <w:vAlign w:val="bottom"/>
          </w:tcPr>
          <w:p>
            <w:pPr>
              <w:spacing w:after="0"/>
              <w:rPr>
                <w:sz w:val="1"/>
                <w:szCs w:val="1"/>
                <w:color w:val="auto"/>
              </w:rPr>
            </w:pPr>
          </w:p>
        </w:tc>
      </w:tr>
      <w:tr>
        <w:trPr>
          <w:trHeight w:val="257"/>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(Reversals) provisions</w:t>
            </w: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shd w:val="clear" w:color="auto" w:fill="CCEEFF"/>
          </w:tcPr>
          <w:p>
            <w:pPr>
              <w:jc w:val="right"/>
              <w:ind w:right="110"/>
              <w:spacing w:after="0"/>
              <w:rPr>
                <w:sz w:val="20"/>
                <w:szCs w:val="20"/>
                <w:color w:val="auto"/>
              </w:rPr>
            </w:pPr>
            <w:r>
              <w:rPr>
                <w:rFonts w:ascii="Times New Roman" w:cs="Times New Roman" w:eastAsia="Times New Roman" w:hAnsi="Times New Roman"/>
                <w:sz w:val="18"/>
                <w:szCs w:val="18"/>
                <w:color w:val="auto"/>
              </w:rPr>
              <w:t>(0.3)</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0.1</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Borders>
              <w:bottom w:val="single" w:sz="8" w:color="auto"/>
            </w:tcBorders>
            <w:shd w:val="clear" w:color="auto" w:fill="CCEEFF"/>
          </w:tcPr>
          <w:p>
            <w:pPr>
              <w:jc w:val="right"/>
              <w:ind w:right="110"/>
              <w:spacing w:after="0"/>
              <w:rPr>
                <w:sz w:val="20"/>
                <w:szCs w:val="20"/>
                <w:color w:val="auto"/>
              </w:rPr>
            </w:pPr>
            <w:r>
              <w:rPr>
                <w:rFonts w:ascii="Times New Roman" w:cs="Times New Roman" w:eastAsia="Times New Roman" w:hAnsi="Times New Roman"/>
                <w:sz w:val="18"/>
                <w:szCs w:val="18"/>
                <w:color w:val="auto"/>
              </w:rPr>
              <w:t>(0.1)</w:t>
            </w:r>
          </w:p>
        </w:tc>
        <w:tc>
          <w:tcPr>
            <w:tcW w:w="10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0.9</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0.0</w:t>
            </w:r>
          </w:p>
        </w:tc>
        <w:tc>
          <w:tcPr>
            <w:tcW w:w="0" w:type="dxa"/>
            <w:vAlign w:val="bottom"/>
          </w:tcPr>
          <w:p>
            <w:pPr>
              <w:spacing w:after="0"/>
              <w:rPr>
                <w:sz w:val="1"/>
                <w:szCs w:val="1"/>
                <w:color w:val="auto"/>
              </w:rPr>
            </w:pPr>
          </w:p>
        </w:tc>
      </w:tr>
      <w:tr>
        <w:trPr>
          <w:trHeight w:val="257"/>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End of period balance</w:t>
            </w: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3.5</w:t>
            </w:r>
          </w:p>
        </w:tc>
        <w:tc>
          <w:tcPr>
            <w:tcW w:w="100" w:type="dxa"/>
            <w:vAlign w:val="bottom"/>
          </w:tcPr>
          <w:p>
            <w:pPr>
              <w:spacing w:after="0"/>
              <w:rPr>
                <w:sz w:val="22"/>
                <w:szCs w:val="22"/>
                <w:color w:val="auto"/>
              </w:rPr>
            </w:pP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3.8</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3.7</w:t>
            </w:r>
          </w:p>
        </w:tc>
        <w:tc>
          <w:tcPr>
            <w:tcW w:w="100" w:type="dxa"/>
            <w:vAlign w:val="bottom"/>
          </w:tcPr>
          <w:p>
            <w:pPr>
              <w:spacing w:after="0"/>
              <w:rPr>
                <w:sz w:val="22"/>
                <w:szCs w:val="22"/>
                <w:color w:val="auto"/>
              </w:rPr>
            </w:pP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3.8</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2.9</w:t>
            </w:r>
          </w:p>
        </w:tc>
        <w:tc>
          <w:tcPr>
            <w:tcW w:w="0" w:type="dxa"/>
            <w:vAlign w:val="bottom"/>
          </w:tcPr>
          <w:p>
            <w:pPr>
              <w:spacing w:after="0"/>
              <w:rPr>
                <w:sz w:val="1"/>
                <w:szCs w:val="1"/>
                <w:color w:val="auto"/>
              </w:rPr>
            </w:pPr>
          </w:p>
        </w:tc>
      </w:tr>
      <w:tr>
        <w:trPr>
          <w:trHeight w:val="20"/>
        </w:trPr>
        <w:tc>
          <w:tcPr>
            <w:tcW w:w="36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36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Investment Portfolio losses</w:t>
            </w:r>
          </w:p>
        </w:tc>
        <w:tc>
          <w:tcPr>
            <w:tcW w:w="20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Balance at beginning of the period</w:t>
            </w: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1.8</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1.8</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0.9</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0.6</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color w:val="auto"/>
              </w:rPr>
              <w:t>0.5</w:t>
            </w:r>
          </w:p>
        </w:tc>
        <w:tc>
          <w:tcPr>
            <w:tcW w:w="0" w:type="dxa"/>
            <w:vAlign w:val="bottom"/>
          </w:tcPr>
          <w:p>
            <w:pPr>
              <w:spacing w:after="0"/>
              <w:rPr>
                <w:sz w:val="1"/>
                <w:szCs w:val="1"/>
                <w:color w:val="auto"/>
              </w:rPr>
            </w:pPr>
          </w:p>
        </w:tc>
      </w:tr>
      <w:tr>
        <w:trPr>
          <w:trHeight w:val="250"/>
        </w:trPr>
        <w:tc>
          <w:tcPr>
            <w:tcW w:w="376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8"/>
                <w:szCs w:val="18"/>
                <w:color w:val="auto"/>
              </w:rPr>
              <w:t>Provisions (reversals)</w:t>
            </w: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0.7</w:t>
            </w:r>
          </w:p>
        </w:tc>
        <w:tc>
          <w:tcPr>
            <w:tcW w:w="100" w:type="dxa"/>
            <w:vAlign w:val="bottom"/>
            <w:tcBorders>
              <w:bottom w:val="single" w:sz="8" w:color="CCEEFF"/>
            </w:tcBorders>
          </w:tcPr>
          <w:p>
            <w:pPr>
              <w:spacing w:after="0"/>
              <w:rPr>
                <w:sz w:val="21"/>
                <w:szCs w:val="21"/>
                <w:color w:val="auto"/>
              </w:rPr>
            </w:pPr>
          </w:p>
        </w:tc>
        <w:tc>
          <w:tcPr>
            <w:tcW w:w="20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0.0</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0.9</w:t>
            </w:r>
          </w:p>
        </w:tc>
        <w:tc>
          <w:tcPr>
            <w:tcW w:w="10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color w:val="auto"/>
              </w:rPr>
              <w:t>0.3</w:t>
            </w:r>
          </w:p>
        </w:tc>
        <w:tc>
          <w:tcPr>
            <w:tcW w:w="80" w:type="dxa"/>
            <w:vAlign w:val="bottom"/>
            <w:tcBorders>
              <w:bottom w:val="single" w:sz="8" w:color="CCEEFF"/>
            </w:tcBorders>
          </w:tcPr>
          <w:p>
            <w:pPr>
              <w:spacing w:after="0"/>
              <w:rPr>
                <w:sz w:val="21"/>
                <w:szCs w:val="21"/>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color w:val="auto"/>
              </w:rPr>
              <w:t>0.1</w:t>
            </w:r>
          </w:p>
        </w:tc>
        <w:tc>
          <w:tcPr>
            <w:tcW w:w="0" w:type="dxa"/>
            <w:vAlign w:val="bottom"/>
          </w:tcPr>
          <w:p>
            <w:pPr>
              <w:spacing w:after="0"/>
              <w:rPr>
                <w:sz w:val="1"/>
                <w:szCs w:val="1"/>
                <w:color w:val="auto"/>
              </w:rPr>
            </w:pPr>
          </w:p>
        </w:tc>
      </w:tr>
      <w:tr>
        <w:trPr>
          <w:trHeight w:val="281"/>
        </w:trPr>
        <w:tc>
          <w:tcPr>
            <w:tcW w:w="37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End of period balance</w:t>
            </w: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2.6</w:t>
            </w:r>
          </w:p>
        </w:tc>
        <w:tc>
          <w:tcPr>
            <w:tcW w:w="100" w:type="dxa"/>
            <w:vAlign w:val="bottom"/>
            <w:tcBorders>
              <w:bottom w:val="single" w:sz="8" w:color="CCEEFF"/>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1.8</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1.8</w:t>
            </w:r>
          </w:p>
        </w:tc>
        <w:tc>
          <w:tcPr>
            <w:tcW w:w="10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0.9</w:t>
            </w:r>
          </w:p>
        </w:tc>
        <w:tc>
          <w:tcPr>
            <w:tcW w:w="80" w:type="dxa"/>
            <w:vAlign w:val="bottom"/>
            <w:tcBorders>
              <w:bottom w:val="single" w:sz="8" w:color="CCEEFF"/>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0.6</w:t>
            </w:r>
          </w:p>
        </w:tc>
        <w:tc>
          <w:tcPr>
            <w:tcW w:w="0" w:type="dxa"/>
            <w:vAlign w:val="bottom"/>
          </w:tcPr>
          <w:p>
            <w:pPr>
              <w:spacing w:after="0"/>
              <w:rPr>
                <w:sz w:val="1"/>
                <w:szCs w:val="1"/>
                <w:color w:val="auto"/>
              </w:rPr>
            </w:pPr>
          </w:p>
        </w:tc>
      </w:tr>
      <w:tr>
        <w:trPr>
          <w:trHeight w:val="20"/>
        </w:trPr>
        <w:tc>
          <w:tcPr>
            <w:tcW w:w="36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36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1"/>
        </w:trPr>
        <w:tc>
          <w:tcPr>
            <w:tcW w:w="376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allowance for losses</w:t>
            </w: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55.2</w:t>
            </w:r>
          </w:p>
        </w:tc>
        <w:tc>
          <w:tcPr>
            <w:tcW w:w="100" w:type="dxa"/>
            <w:vAlign w:val="bottom"/>
            <w:tcBorders>
              <w:bottom w:val="single" w:sz="8" w:color="auto"/>
            </w:tcBorders>
            <w:shd w:val="clear" w:color="auto" w:fill="CCEEFF"/>
          </w:tcPr>
          <w:p>
            <w:pPr>
              <w:spacing w:after="0"/>
              <w:rPr>
                <w:sz w:val="24"/>
                <w:szCs w:val="24"/>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47.1</w:t>
            </w:r>
          </w:p>
        </w:tc>
        <w:tc>
          <w:tcPr>
            <w:tcW w:w="80" w:type="dxa"/>
            <w:vAlign w:val="bottom"/>
            <w:tcBorders>
              <w:bottom w:val="single" w:sz="8" w:color="auto"/>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0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46.9</w:t>
            </w:r>
          </w:p>
        </w:tc>
        <w:tc>
          <w:tcPr>
            <w:tcW w:w="100" w:type="dxa"/>
            <w:vAlign w:val="bottom"/>
            <w:tcBorders>
              <w:bottom w:val="single" w:sz="8" w:color="auto"/>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20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46.1</w:t>
            </w:r>
          </w:p>
        </w:tc>
        <w:tc>
          <w:tcPr>
            <w:tcW w:w="80" w:type="dxa"/>
            <w:vAlign w:val="bottom"/>
            <w:tcBorders>
              <w:bottom w:val="single" w:sz="8" w:color="auto"/>
            </w:tcBorders>
            <w:shd w:val="clear" w:color="auto" w:fill="CCEEFF"/>
          </w:tcPr>
          <w:p>
            <w:pPr>
              <w:spacing w:after="0"/>
              <w:rPr>
                <w:sz w:val="24"/>
                <w:szCs w:val="24"/>
                <w:color w:val="auto"/>
              </w:rPr>
            </w:pPr>
          </w:p>
        </w:tc>
        <w:tc>
          <w:tcPr>
            <w:tcW w:w="220" w:type="dxa"/>
            <w:vAlign w:val="bottom"/>
            <w:tcBorders>
              <w:bottom w:val="single" w:sz="8" w:color="auto"/>
            </w:tcBorders>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tcBorders>
              <w:bottom w:val="single" w:sz="8" w:color="auto"/>
            </w:tcBorders>
            <w:shd w:val="clear" w:color="auto" w:fill="CCEEFF"/>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44.6</w:t>
            </w:r>
          </w:p>
        </w:tc>
        <w:tc>
          <w:tcPr>
            <w:tcW w:w="0" w:type="dxa"/>
            <w:vAlign w:val="bottom"/>
          </w:tcPr>
          <w:p>
            <w:pPr>
              <w:spacing w:after="0"/>
              <w:rPr>
                <w:sz w:val="1"/>
                <w:szCs w:val="1"/>
                <w:color w:val="auto"/>
              </w:rPr>
            </w:pPr>
          </w:p>
        </w:tc>
      </w:tr>
      <w:tr>
        <w:trPr>
          <w:trHeight w:val="20"/>
        </w:trPr>
        <w:tc>
          <w:tcPr>
            <w:tcW w:w="36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0"/>
        </w:trPr>
        <w:tc>
          <w:tcPr>
            <w:tcW w:w="3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7"/>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allowance for losses to Credit Portfolio</w:t>
            </w:r>
          </w:p>
        </w:tc>
        <w:tc>
          <w:tcPr>
            <w:tcW w:w="20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0.7 %</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0.6 %</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0.7 %</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0.7 %</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0.7 %</w:t>
            </w:r>
          </w:p>
        </w:tc>
        <w:tc>
          <w:tcPr>
            <w:tcW w:w="0" w:type="dxa"/>
            <w:vAlign w:val="bottom"/>
          </w:tcPr>
          <w:p>
            <w:pPr>
              <w:spacing w:after="0"/>
              <w:rPr>
                <w:sz w:val="1"/>
                <w:szCs w:val="1"/>
                <w:color w:val="auto"/>
              </w:rPr>
            </w:pPr>
          </w:p>
        </w:tc>
      </w:tr>
      <w:tr>
        <w:trPr>
          <w:trHeight w:val="250"/>
        </w:trPr>
        <w:tc>
          <w:tcPr>
            <w:tcW w:w="37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Credit-impaired loans to Loan Portfolio</w:t>
            </w:r>
          </w:p>
        </w:tc>
        <w:tc>
          <w:tcPr>
            <w:tcW w:w="20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1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0.2 %</w:t>
            </w:r>
          </w:p>
        </w:tc>
        <w:tc>
          <w:tcPr>
            <w:tcW w:w="0" w:type="dxa"/>
            <w:vAlign w:val="bottom"/>
          </w:tcPr>
          <w:p>
            <w:pPr>
              <w:spacing w:after="0"/>
              <w:rPr>
                <w:sz w:val="1"/>
                <w:szCs w:val="1"/>
                <w:color w:val="auto"/>
              </w:rPr>
            </w:pPr>
          </w:p>
        </w:tc>
      </w:tr>
      <w:tr>
        <w:trPr>
          <w:trHeight w:val="227"/>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allowance for losses to credit-impaired</w:t>
            </w:r>
          </w:p>
        </w:tc>
        <w:tc>
          <w:tcPr>
            <w:tcW w:w="200" w:type="dxa"/>
            <w:vAlign w:val="bottom"/>
            <w:shd w:val="clear" w:color="auto" w:fill="CCEEFF"/>
          </w:tcPr>
          <w:p>
            <w:pPr>
              <w:spacing w:after="0"/>
              <w:rPr>
                <w:sz w:val="19"/>
                <w:szCs w:val="19"/>
                <w:color w:val="auto"/>
              </w:rPr>
            </w:pP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5.2</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4.2</w:t>
            </w:r>
          </w:p>
        </w:tc>
        <w:tc>
          <w:tcPr>
            <w:tcW w:w="0" w:type="dxa"/>
            <w:vAlign w:val="bottom"/>
          </w:tcPr>
          <w:p>
            <w:pPr>
              <w:spacing w:after="0"/>
              <w:rPr>
                <w:sz w:val="1"/>
                <w:szCs w:val="1"/>
                <w:color w:val="auto"/>
              </w:rPr>
            </w:pPr>
          </w:p>
        </w:tc>
      </w:tr>
      <w:tr>
        <w:trPr>
          <w:trHeight w:val="238"/>
        </w:trPr>
        <w:tc>
          <w:tcPr>
            <w:tcW w:w="376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loans (times)</w:t>
            </w:r>
          </w:p>
        </w:tc>
        <w:tc>
          <w:tcPr>
            <w:tcW w:w="200" w:type="dxa"/>
            <w:vAlign w:val="bottom"/>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00" w:type="dxa"/>
            <w:vAlign w:val="bottom"/>
            <w:vMerge w:val="continue"/>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162560</wp:posOffset>
            </wp:positionV>
            <wp:extent cx="7132320" cy="1631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16319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p>
      <w:pPr>
        <w:spacing w:after="0" w:line="261"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7"/>
          <w:szCs w:val="17"/>
          <w:b w:val="1"/>
          <w:bCs w:val="1"/>
          <w:color w:val="auto"/>
        </w:rPr>
        <w:t>Stage 1 (low risk) to Total Credit Portfolio</w:t>
      </w:r>
    </w:p>
    <w:p>
      <w:pPr>
        <w:spacing w:after="0" w:line="61" w:lineRule="exact"/>
        <w:rPr>
          <w:sz w:val="20"/>
          <w:szCs w:val="20"/>
          <w:color w:val="auto"/>
        </w:rPr>
      </w:pPr>
    </w:p>
    <w:p>
      <w:pPr>
        <w:ind w:left="20" w:right="1040"/>
        <w:spacing w:after="0" w:line="266" w:lineRule="auto"/>
        <w:rPr>
          <w:sz w:val="20"/>
          <w:szCs w:val="20"/>
          <w:color w:val="auto"/>
        </w:rPr>
      </w:pPr>
      <w:r>
        <w:rPr>
          <w:rFonts w:ascii="Times New Roman" w:cs="Times New Roman" w:eastAsia="Times New Roman" w:hAnsi="Times New Roman"/>
          <w:sz w:val="18"/>
          <w:szCs w:val="18"/>
          <w:b w:val="1"/>
          <w:bCs w:val="1"/>
          <w:color w:val="auto"/>
        </w:rPr>
        <w:t>Stage 2 (increased risk) to Total Credit Portfolio</w:t>
      </w:r>
    </w:p>
    <w:p>
      <w:pPr>
        <w:ind w:left="20" w:right="940"/>
        <w:spacing w:after="0" w:line="286" w:lineRule="auto"/>
        <w:rPr>
          <w:sz w:val="20"/>
          <w:szCs w:val="20"/>
          <w:color w:val="auto"/>
        </w:rPr>
      </w:pPr>
      <w:r>
        <w:rPr>
          <w:rFonts w:ascii="Times New Roman" w:cs="Times New Roman" w:eastAsia="Times New Roman" w:hAnsi="Times New Roman"/>
          <w:sz w:val="18"/>
          <w:szCs w:val="18"/>
          <w:b w:val="1"/>
          <w:bCs w:val="1"/>
          <w:color w:val="auto"/>
        </w:rPr>
        <w:t>Stage 3 (credit impaired) to Total Credit Portfolio</w:t>
      </w:r>
    </w:p>
    <w:p>
      <w:pPr>
        <w:spacing w:after="0" w:line="20" w:lineRule="exact"/>
        <w:rPr>
          <w:sz w:val="20"/>
          <w:szCs w:val="20"/>
          <w:color w:val="auto"/>
        </w:rPr>
      </w:pPr>
      <w:r>
        <w:rPr>
          <w:sz w:val="20"/>
          <w:szCs w:val="20"/>
          <w:color w:val="auto"/>
        </w:rPr>
        <w:br w:type="column"/>
      </w:r>
    </w:p>
    <w:p>
      <w:pPr>
        <w:spacing w:after="0" w:line="24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8"/>
        </w:trPr>
        <w:tc>
          <w:tcPr>
            <w:tcW w:w="96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w w:val="93"/>
              </w:rPr>
              <w:t>98 %</w:t>
            </w:r>
          </w:p>
        </w:tc>
        <w:tc>
          <w:tcPr>
            <w:tcW w:w="1500" w:type="dxa"/>
            <w:vAlign w:val="bottom"/>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98 %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97 %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96 %</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95 %</w:t>
            </w:r>
          </w:p>
        </w:tc>
      </w:tr>
      <w:tr>
        <w:trPr>
          <w:trHeight w:val="459"/>
        </w:trPr>
        <w:tc>
          <w:tcPr>
            <w:tcW w:w="96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2 %</w:t>
            </w:r>
          </w:p>
        </w:tc>
        <w:tc>
          <w:tcPr>
            <w:tcW w:w="1500" w:type="dxa"/>
            <w:vAlign w:val="bottom"/>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2 %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3 %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4 %</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5 %</w:t>
            </w:r>
          </w:p>
        </w:tc>
      </w:tr>
      <w:tr>
        <w:trPr>
          <w:trHeight w:val="459"/>
        </w:trPr>
        <w:tc>
          <w:tcPr>
            <w:tcW w:w="96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0 %</w:t>
            </w:r>
          </w:p>
        </w:tc>
        <w:tc>
          <w:tcPr>
            <w:tcW w:w="1500" w:type="dxa"/>
            <w:vAlign w:val="bottom"/>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0 %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0 %</w:t>
            </w:r>
          </w:p>
        </w:tc>
        <w:tc>
          <w:tcPr>
            <w:tcW w:w="152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0 %</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0 %</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-3016885</wp:posOffset>
            </wp:positionH>
            <wp:positionV relativeFrom="paragraph">
              <wp:posOffset>-282575</wp:posOffset>
            </wp:positionV>
            <wp:extent cx="7132320" cy="2914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291465"/>
                    </a:xfrm>
                    <a:prstGeom prst="rect">
                      <a:avLst/>
                    </a:prstGeom>
                    <a:noFill/>
                  </pic:spPr>
                </pic:pic>
              </a:graphicData>
            </a:graphic>
          </wp:anchor>
        </w:drawing>
      </w:r>
    </w:p>
    <w:p>
      <w:pPr>
        <w:spacing w:after="0" w:line="252" w:lineRule="exact"/>
        <w:rPr>
          <w:sz w:val="20"/>
          <w:szCs w:val="20"/>
          <w:color w:val="auto"/>
        </w:rPr>
      </w:pPr>
    </w:p>
    <w:p>
      <w:pPr>
        <w:sectPr>
          <w:pgSz w:w="11900" w:h="16838" w:orient="portrait"/>
          <w:cols w:equalWidth="0" w:num="2">
            <w:col w:w="4040" w:space="720"/>
            <w:col w:w="6480"/>
          </w:cols>
          <w:pgMar w:left="320" w:top="1440" w:right="339" w:bottom="1440" w:gutter="0" w:footer="0" w:header="0"/>
          <w:type w:val="continuous"/>
        </w:sectPr>
      </w:pPr>
    </w:p>
    <w:p>
      <w:pPr>
        <w:spacing w:after="0" w:line="80" w:lineRule="exact"/>
        <w:rPr>
          <w:sz w:val="20"/>
          <w:szCs w:val="20"/>
          <w:color w:val="auto"/>
        </w:rPr>
      </w:pPr>
    </w:p>
    <w:p>
      <w:pPr>
        <w:jc w:val="both"/>
        <w:spacing w:after="0" w:line="250" w:lineRule="auto"/>
        <w:rPr>
          <w:sz w:val="20"/>
          <w:szCs w:val="20"/>
          <w:color w:val="auto"/>
        </w:rPr>
      </w:pPr>
      <w:r>
        <w:rPr>
          <w:rFonts w:ascii="Times New Roman" w:cs="Times New Roman" w:eastAsia="Times New Roman" w:hAnsi="Times New Roman"/>
          <w:sz w:val="18"/>
          <w:szCs w:val="18"/>
          <w:color w:val="auto"/>
        </w:rPr>
        <w:t>As of March 31, 2022, the total allowance for credit losses increased to $55.2 million, representing a coverage ratio to the Credit Portfolio of 0.7%, compared to $44.6 million, or 0.7%, at the end of 1Q21, and compared to $47.1 million, or 0.6%, at the end of 4Q21. Higher allowance during the quarter was closely tied to provisions for credit losses driven by the Bank’s Credit Portfolio growth, as balances were up by 38% YoY and 14% QoQ at the end of 1Q22.</w:t>
      </w:r>
    </w:p>
    <w:p>
      <w:pPr>
        <w:spacing w:after="0" w:line="204"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Bank maintained its sound asset quality, with credit-impaired loans (“NPL”) unchanged at $11 million, or 0.2% of the total Loan Portfolio as of March 31, 2022. Credits categorized as Stage 2 under IFRS 9 (with increased risk since origination) represented 2% of total credits, down from 5% a year ago and unchanged QoQ, with the remaining 98% categorized as Stage 1 or low-risk credits.</w:t>
      </w: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type w:val="continuous"/>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3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270"/>
        </w:trPr>
        <w:tc>
          <w:tcPr>
            <w:tcW w:w="5240" w:type="dxa"/>
            <w:vAlign w:val="bottom"/>
            <w:tcBorders>
              <w:bottom w:val="single" w:sz="8" w:color="211D1E"/>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(US$ million, except percentages)</w:t>
            </w:r>
          </w:p>
        </w:tc>
        <w:tc>
          <w:tcPr>
            <w:tcW w:w="80" w:type="dxa"/>
            <w:vAlign w:val="bottom"/>
            <w:tcBorders>
              <w:bottom w:val="single" w:sz="8" w:color="CCEEFF"/>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82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1Q22</w:t>
            </w:r>
          </w:p>
        </w:tc>
        <w:tc>
          <w:tcPr>
            <w:tcW w:w="80" w:type="dxa"/>
            <w:vAlign w:val="bottom"/>
            <w:tcBorders>
              <w:bottom w:val="single" w:sz="8" w:color="CCEEFF"/>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82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4Q21</w:t>
            </w:r>
          </w:p>
        </w:tc>
        <w:tc>
          <w:tcPr>
            <w:tcW w:w="80" w:type="dxa"/>
            <w:vAlign w:val="bottom"/>
            <w:tcBorders>
              <w:bottom w:val="single" w:sz="8" w:color="CCEEFF"/>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82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1Q21</w:t>
            </w:r>
          </w:p>
        </w:tc>
        <w:tc>
          <w:tcPr>
            <w:tcW w:w="80" w:type="dxa"/>
            <w:vAlign w:val="bottom"/>
            <w:tcBorders>
              <w:bottom w:val="single" w:sz="8" w:color="CCEEFF"/>
            </w:tcBorders>
          </w:tcPr>
          <w:p>
            <w:pPr>
              <w:spacing w:after="0"/>
              <w:rPr>
                <w:sz w:val="23"/>
                <w:szCs w:val="23"/>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QoQ (%)</w:t>
            </w:r>
          </w:p>
        </w:tc>
        <w:tc>
          <w:tcPr>
            <w:tcW w:w="220" w:type="dxa"/>
            <w:vAlign w:val="bottom"/>
            <w:tcBorders>
              <w:bottom w:val="single" w:sz="8" w:color="auto"/>
            </w:tcBorders>
          </w:tcPr>
          <w:p>
            <w:pPr>
              <w:spacing w:after="0"/>
              <w:rPr>
                <w:sz w:val="23"/>
                <w:szCs w:val="23"/>
                <w:color w:val="auto"/>
              </w:rPr>
            </w:pPr>
          </w:p>
        </w:tc>
        <w:tc>
          <w:tcPr>
            <w:tcW w:w="100" w:type="dxa"/>
            <w:vAlign w:val="bottom"/>
            <w:tcBorders>
              <w:bottom w:val="single" w:sz="8" w:color="CCEEFF"/>
            </w:tcBorders>
          </w:tcPr>
          <w:p>
            <w:pPr>
              <w:spacing w:after="0"/>
              <w:rPr>
                <w:sz w:val="23"/>
                <w:szCs w:val="23"/>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YoY (%)</w:t>
            </w:r>
          </w:p>
        </w:tc>
        <w:tc>
          <w:tcPr>
            <w:tcW w:w="200" w:type="dxa"/>
            <w:vAlign w:val="bottom"/>
            <w:tcBorders>
              <w:bottom w:val="single" w:sz="8" w:color="auto"/>
            </w:tcBorders>
          </w:tcPr>
          <w:p>
            <w:pPr>
              <w:spacing w:after="0"/>
              <w:rPr>
                <w:sz w:val="23"/>
                <w:szCs w:val="23"/>
                <w:color w:val="auto"/>
              </w:rPr>
            </w:pPr>
          </w:p>
        </w:tc>
      </w:tr>
      <w:tr>
        <w:trPr>
          <w:trHeight w:val="250"/>
        </w:trPr>
        <w:tc>
          <w:tcPr>
            <w:tcW w:w="5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220" w:type="dxa"/>
            <w:vAlign w:val="bottom"/>
            <w:shd w:val="clear" w:color="auto" w:fill="CCEEFF"/>
          </w:tcPr>
          <w:p>
            <w:pPr>
              <w:spacing w:after="0"/>
              <w:rPr>
                <w:sz w:val="21"/>
                <w:szCs w:val="21"/>
                <w:color w:val="auto"/>
              </w:rPr>
            </w:pPr>
          </w:p>
        </w:tc>
        <w:tc>
          <w:tcPr>
            <w:tcW w:w="8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8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8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r>
      <w:tr>
        <w:trPr>
          <w:trHeight w:val="250"/>
        </w:trPr>
        <w:tc>
          <w:tcPr>
            <w:tcW w:w="53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Salaries and other employee expenses</w:t>
            </w:r>
          </w:p>
        </w:tc>
        <w:tc>
          <w:tcPr>
            <w:tcW w:w="220" w:type="dxa"/>
            <w:vAlign w:val="bottom"/>
          </w:tcPr>
          <w:p>
            <w:pPr>
              <w:spacing w:after="0"/>
              <w:rPr>
                <w:sz w:val="21"/>
                <w:szCs w:val="21"/>
                <w:color w:val="auto"/>
              </w:rPr>
            </w:pPr>
          </w:p>
        </w:tc>
        <w:tc>
          <w:tcPr>
            <w:tcW w:w="8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7.4</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4.9</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5.4</w:t>
            </w:r>
          </w:p>
        </w:tc>
        <w:tc>
          <w:tcPr>
            <w:tcW w:w="8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52</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63"/>
        </w:trPr>
        <w:tc>
          <w:tcPr>
            <w:tcW w:w="5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Depreciation of investment property, equipment and improvements</w:t>
            </w:r>
          </w:p>
        </w:tc>
        <w:tc>
          <w:tcPr>
            <w:tcW w:w="220" w:type="dxa"/>
            <w:vAlign w:val="bottom"/>
            <w:shd w:val="clear" w:color="auto" w:fill="CCEEFF"/>
          </w:tcPr>
          <w:p>
            <w:pPr>
              <w:spacing w:after="0"/>
              <w:rPr>
                <w:sz w:val="22"/>
                <w:szCs w:val="22"/>
                <w:color w:val="auto"/>
              </w:rPr>
            </w:pPr>
          </w:p>
        </w:tc>
        <w:tc>
          <w:tcPr>
            <w:tcW w:w="82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0.5</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2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0.6</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820" w:type="dxa"/>
            <w:vAlign w:val="bottom"/>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0.8</w:t>
            </w:r>
          </w:p>
        </w:tc>
        <w:tc>
          <w:tcPr>
            <w:tcW w:w="8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-14 %</w:t>
            </w:r>
          </w:p>
        </w:tc>
        <w:tc>
          <w:tcPr>
            <w:tcW w:w="10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-35 %</w:t>
            </w:r>
          </w:p>
        </w:tc>
      </w:tr>
      <w:tr>
        <w:trPr>
          <w:trHeight w:val="250"/>
        </w:trPr>
        <w:tc>
          <w:tcPr>
            <w:tcW w:w="53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Amortization of intangible assets</w:t>
            </w:r>
          </w:p>
        </w:tc>
        <w:tc>
          <w:tcPr>
            <w:tcW w:w="220" w:type="dxa"/>
            <w:vAlign w:val="bottom"/>
          </w:tcPr>
          <w:p>
            <w:pPr>
              <w:spacing w:after="0"/>
              <w:rPr>
                <w:sz w:val="21"/>
                <w:szCs w:val="21"/>
                <w:color w:val="auto"/>
              </w:rPr>
            </w:pPr>
          </w:p>
        </w:tc>
        <w:tc>
          <w:tcPr>
            <w:tcW w:w="8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0.1</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0.1</w:t>
            </w:r>
          </w:p>
        </w:tc>
        <w:tc>
          <w:tcPr>
            <w:tcW w:w="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820" w:type="dxa"/>
            <w:vAlign w:val="bottom"/>
          </w:tcPr>
          <w:p>
            <w:pPr>
              <w:jc w:val="right"/>
              <w:ind w:right="170"/>
              <w:spacing w:after="0"/>
              <w:rPr>
                <w:sz w:val="20"/>
                <w:szCs w:val="20"/>
                <w:color w:val="auto"/>
              </w:rPr>
            </w:pPr>
            <w:r>
              <w:rPr>
                <w:rFonts w:ascii="Times New Roman" w:cs="Times New Roman" w:eastAsia="Times New Roman" w:hAnsi="Times New Roman"/>
                <w:sz w:val="18"/>
                <w:szCs w:val="18"/>
                <w:color w:val="auto"/>
              </w:rPr>
              <w:t>0.3</w:t>
            </w:r>
          </w:p>
        </w:tc>
        <w:tc>
          <w:tcPr>
            <w:tcW w:w="8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w:t>
            </w:r>
          </w:p>
        </w:tc>
        <w:tc>
          <w:tcPr>
            <w:tcW w:w="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5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expenses</w:t>
            </w: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2.9</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4.7</w:t>
            </w:r>
          </w:p>
        </w:tc>
        <w:tc>
          <w:tcPr>
            <w:tcW w:w="80" w:type="dxa"/>
            <w:vAlign w:val="bottom"/>
            <w:shd w:val="clear" w:color="auto" w:fill="CCEEFF"/>
          </w:tcPr>
          <w:p>
            <w:pPr>
              <w:spacing w:after="0"/>
              <w:rPr>
                <w:sz w:val="22"/>
                <w:szCs w:val="22"/>
                <w:color w:val="auto"/>
              </w:rPr>
            </w:pPr>
          </w:p>
        </w:tc>
        <w:tc>
          <w:tcPr>
            <w:tcW w:w="220" w:type="dxa"/>
            <w:vAlign w:val="bottom"/>
            <w:tcBorders>
              <w:bottom w:val="single" w:sz="8" w:color="auto"/>
            </w:tcBorders>
            <w:shd w:val="clear" w:color="auto" w:fill="CCEEFF"/>
          </w:tcPr>
          <w:p>
            <w:pPr>
              <w:spacing w:after="0"/>
              <w:rPr>
                <w:sz w:val="22"/>
                <w:szCs w:val="22"/>
                <w:color w:val="auto"/>
              </w:rPr>
            </w:pPr>
          </w:p>
        </w:tc>
        <w:tc>
          <w:tcPr>
            <w:tcW w:w="820" w:type="dxa"/>
            <w:vAlign w:val="bottom"/>
            <w:tcBorders>
              <w:bottom w:val="single" w:sz="8" w:color="auto"/>
            </w:tcBorders>
            <w:shd w:val="clear" w:color="auto" w:fill="CCEEFF"/>
          </w:tcPr>
          <w:p>
            <w:pPr>
              <w:jc w:val="right"/>
              <w:ind w:right="170"/>
              <w:spacing w:after="0"/>
              <w:rPr>
                <w:sz w:val="20"/>
                <w:szCs w:val="20"/>
                <w:color w:val="auto"/>
              </w:rPr>
            </w:pPr>
            <w:r>
              <w:rPr>
                <w:rFonts w:ascii="Times New Roman" w:cs="Times New Roman" w:eastAsia="Times New Roman" w:hAnsi="Times New Roman"/>
                <w:sz w:val="18"/>
                <w:szCs w:val="18"/>
                <w:color w:val="auto"/>
              </w:rPr>
              <w:t>2.6</w:t>
            </w:r>
          </w:p>
        </w:tc>
        <w:tc>
          <w:tcPr>
            <w:tcW w:w="80" w:type="dxa"/>
            <w:vAlign w:val="bottom"/>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w:t>
            </w:r>
          </w:p>
        </w:tc>
        <w:tc>
          <w:tcPr>
            <w:tcW w:w="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532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Total Operating Expenses</w:t>
            </w: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8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11.0</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8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10.3</w:t>
            </w:r>
          </w:p>
        </w:tc>
        <w:tc>
          <w:tcPr>
            <w:tcW w:w="80" w:type="dxa"/>
            <w:vAlign w:val="bottom"/>
          </w:tcPr>
          <w:p>
            <w:pPr>
              <w:spacing w:after="0"/>
              <w:rPr>
                <w:sz w:val="22"/>
                <w:szCs w:val="22"/>
                <w:color w:val="auto"/>
              </w:rPr>
            </w:pPr>
          </w:p>
        </w:tc>
        <w:tc>
          <w:tcPr>
            <w:tcW w:w="22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w:t>
            </w:r>
          </w:p>
        </w:tc>
        <w:tc>
          <w:tcPr>
            <w:tcW w:w="82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9.1</w:t>
            </w:r>
          </w:p>
        </w:tc>
        <w:tc>
          <w:tcPr>
            <w:tcW w:w="80" w:type="dxa"/>
            <w:vAlign w:val="bottom"/>
          </w:tcPr>
          <w:p>
            <w:pPr>
              <w:spacing w:after="0"/>
              <w:rPr>
                <w:sz w:val="22"/>
                <w:szCs w:val="22"/>
                <w:color w:val="auto"/>
              </w:rPr>
            </w:pPr>
          </w:p>
        </w:tc>
        <w:tc>
          <w:tcPr>
            <w:tcW w:w="124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7 %</w:t>
            </w:r>
          </w:p>
        </w:tc>
        <w:tc>
          <w:tcPr>
            <w:tcW w:w="100" w:type="dxa"/>
            <w:vAlign w:val="bottom"/>
          </w:tcPr>
          <w:p>
            <w:pPr>
              <w:spacing w:after="0"/>
              <w:rPr>
                <w:sz w:val="22"/>
                <w:szCs w:val="22"/>
                <w:color w:val="auto"/>
              </w:rPr>
            </w:pPr>
          </w:p>
        </w:tc>
        <w:tc>
          <w:tcPr>
            <w:tcW w:w="12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21 %</w:t>
            </w:r>
          </w:p>
        </w:tc>
      </w:tr>
      <w:tr>
        <w:trPr>
          <w:trHeight w:val="20"/>
        </w:trPr>
        <w:tc>
          <w:tcPr>
            <w:tcW w:w="5240" w:type="dxa"/>
            <w:vAlign w:val="bottom"/>
            <w:tcBorders>
              <w:bottom w:val="single" w:sz="8" w:color="CCEEFF"/>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r>
      <w:tr>
        <w:trPr>
          <w:trHeight w:val="244"/>
        </w:trPr>
        <w:tc>
          <w:tcPr>
            <w:tcW w:w="5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Efficiency Ratio</w:t>
            </w:r>
          </w:p>
        </w:tc>
        <w:tc>
          <w:tcPr>
            <w:tcW w:w="220" w:type="dxa"/>
            <w:vAlign w:val="bottom"/>
            <w:tcBorders>
              <w:bottom w:val="single" w:sz="8" w:color="auto"/>
            </w:tcBorders>
            <w:shd w:val="clear" w:color="auto" w:fill="CCEEFF"/>
          </w:tcPr>
          <w:p>
            <w:pPr>
              <w:spacing w:after="0"/>
              <w:rPr>
                <w:sz w:val="21"/>
                <w:szCs w:val="21"/>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36.4 %</w:t>
            </w:r>
          </w:p>
        </w:tc>
        <w:tc>
          <w:tcPr>
            <w:tcW w:w="80" w:type="dxa"/>
            <w:vAlign w:val="bottom"/>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34.6 %</w:t>
            </w:r>
          </w:p>
        </w:tc>
        <w:tc>
          <w:tcPr>
            <w:tcW w:w="80" w:type="dxa"/>
            <w:vAlign w:val="bottom"/>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41.6 %</w:t>
            </w:r>
          </w:p>
        </w:tc>
        <w:tc>
          <w:tcPr>
            <w:tcW w:w="80" w:type="dxa"/>
            <w:vAlign w:val="bottom"/>
            <w:shd w:val="clear" w:color="auto" w:fill="CCEEFF"/>
          </w:tcPr>
          <w:p>
            <w:pPr>
              <w:spacing w:after="0"/>
              <w:rPr>
                <w:sz w:val="21"/>
                <w:szCs w:val="21"/>
                <w:color w:val="auto"/>
              </w:rPr>
            </w:pPr>
          </w:p>
        </w:tc>
        <w:tc>
          <w:tcPr>
            <w:tcW w:w="1020" w:type="dxa"/>
            <w:vAlign w:val="bottom"/>
            <w:tcBorders>
              <w:bottom w:val="single" w:sz="8" w:color="auto"/>
            </w:tcBorders>
            <w:shd w:val="clear" w:color="auto" w:fill="CCEEFF"/>
          </w:tcPr>
          <w:p>
            <w:pPr>
              <w:spacing w:after="0"/>
              <w:rPr>
                <w:sz w:val="21"/>
                <w:szCs w:val="21"/>
                <w:color w:val="auto"/>
              </w:rPr>
            </w:pPr>
          </w:p>
        </w:tc>
        <w:tc>
          <w:tcPr>
            <w:tcW w:w="220" w:type="dxa"/>
            <w:vAlign w:val="bottom"/>
            <w:tcBorders>
              <w:bottom w:val="single" w:sz="8" w:color="auto"/>
            </w:tcBorders>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tcBorders>
              <w:bottom w:val="single" w:sz="8" w:color="auto"/>
            </w:tcBorders>
            <w:shd w:val="clear" w:color="auto" w:fill="CCEEFF"/>
          </w:tcPr>
          <w:p>
            <w:pPr>
              <w:spacing w:after="0"/>
              <w:rPr>
                <w:sz w:val="21"/>
                <w:szCs w:val="21"/>
                <w:color w:val="auto"/>
              </w:rPr>
            </w:pPr>
          </w:p>
        </w:tc>
        <w:tc>
          <w:tcPr>
            <w:tcW w:w="200" w:type="dxa"/>
            <w:vAlign w:val="bottom"/>
            <w:tcBorders>
              <w:bottom w:val="single" w:sz="8" w:color="auto"/>
            </w:tcBorders>
            <w:shd w:val="clear" w:color="auto" w:fill="CCEEFF"/>
          </w:tcPr>
          <w:p>
            <w:pPr>
              <w:spacing w:after="0"/>
              <w:rPr>
                <w:sz w:val="21"/>
                <w:szCs w:val="21"/>
                <w:color w:val="auto"/>
              </w:rPr>
            </w:pPr>
          </w:p>
        </w:tc>
      </w:tr>
    </w:tbl>
    <w:p>
      <w:pPr>
        <w:spacing w:after="0" w:line="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Bank’s 1Q22 operating expenses totaled $11.0 million (+21% YoY; +7 QoQ). These quarterly increases were mostly related to higher salaries and other employee expenses, as the Bank has been strengthening its work force through new hires in order to capture increased business activity. In addition, when compared to the previous quarter, expense variation is also impacted by a non-recurring salary-related expense reduction during the 4Q21.</w:t>
      </w:r>
    </w:p>
    <w:p>
      <w:pPr>
        <w:spacing w:after="0" w:line="19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Bank’s Efficiency Ratio stood at 36.4% in 1Q22, compared to 41.6% a year ago and compared to 34.6% a quarter ago, as the 38% YoY and 1% QoQ improvements in total revenues were partly offset by the aforementioned increase in operating expenses.</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CAPITAL RATIOS AND CAPITAL MANAGEMENT</w:t>
      </w:r>
    </w:p>
    <w:p>
      <w:pPr>
        <w:spacing w:after="0" w:line="2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shows capital amounts and ratios as of the dates indicated:</w:t>
      </w:r>
    </w:p>
    <w:p>
      <w:pPr>
        <w:spacing w:after="0" w:line="25"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1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(US$ million, except percentages and shares</w:t>
            </w:r>
          </w:p>
        </w:tc>
        <w:tc>
          <w:tcPr>
            <w:tcW w:w="180" w:type="dxa"/>
            <w:vAlign w:val="bottom"/>
          </w:tcPr>
          <w:p>
            <w:pPr>
              <w:spacing w:after="0"/>
              <w:rPr>
                <w:sz w:val="18"/>
                <w:szCs w:val="18"/>
                <w:color w:val="auto"/>
              </w:rPr>
            </w:pPr>
          </w:p>
        </w:tc>
        <w:tc>
          <w:tcPr>
            <w:tcW w:w="1160" w:type="dxa"/>
            <w:vAlign w:val="bottom"/>
            <w:vMerge w:val="restart"/>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31-Mar-22</w:t>
            </w:r>
          </w:p>
        </w:tc>
        <w:tc>
          <w:tcPr>
            <w:tcW w:w="100" w:type="dxa"/>
            <w:vAlign w:val="bottom"/>
            <w:vMerge w:val="restart"/>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vMerge w:val="restart"/>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31-Dec-21</w:t>
            </w:r>
          </w:p>
        </w:tc>
        <w:tc>
          <w:tcPr>
            <w:tcW w:w="80" w:type="dxa"/>
            <w:vAlign w:val="bottom"/>
            <w:vMerge w:val="restart"/>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vMerge w:val="restart"/>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31-Mar-21</w:t>
            </w:r>
          </w:p>
        </w:tc>
        <w:tc>
          <w:tcPr>
            <w:tcW w:w="100" w:type="dxa"/>
            <w:vAlign w:val="bottom"/>
            <w:vMerge w:val="restart"/>
          </w:tcPr>
          <w:p>
            <w:pPr>
              <w:spacing w:after="0"/>
              <w:rPr>
                <w:sz w:val="18"/>
                <w:szCs w:val="18"/>
                <w:color w:val="auto"/>
              </w:rPr>
            </w:pPr>
          </w:p>
        </w:tc>
        <w:tc>
          <w:tcPr>
            <w:tcW w:w="1320" w:type="dxa"/>
            <w:vAlign w:val="bottom"/>
            <w:vMerge w:val="restart"/>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QoQ (%)</w:t>
            </w:r>
          </w:p>
        </w:tc>
        <w:tc>
          <w:tcPr>
            <w:tcW w:w="100" w:type="dxa"/>
            <w:vAlign w:val="bottom"/>
            <w:vMerge w:val="restart"/>
          </w:tcPr>
          <w:p>
            <w:pPr>
              <w:spacing w:after="0"/>
              <w:rPr>
                <w:sz w:val="18"/>
                <w:szCs w:val="18"/>
                <w:color w:val="auto"/>
              </w:rPr>
            </w:pPr>
          </w:p>
        </w:tc>
        <w:tc>
          <w:tcPr>
            <w:tcW w:w="1340" w:type="dxa"/>
            <w:vAlign w:val="bottom"/>
            <w:vMerge w:val="restart"/>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YoY (%)</w:t>
            </w:r>
          </w:p>
        </w:tc>
        <w:tc>
          <w:tcPr>
            <w:tcW w:w="0" w:type="dxa"/>
            <w:vAlign w:val="bottom"/>
          </w:tcPr>
          <w:p>
            <w:pPr>
              <w:spacing w:after="0"/>
              <w:rPr>
                <w:sz w:val="1"/>
                <w:szCs w:val="1"/>
                <w:color w:val="auto"/>
              </w:rPr>
            </w:pPr>
          </w:p>
        </w:tc>
      </w:tr>
      <w:tr>
        <w:trPr>
          <w:trHeight w:val="241"/>
        </w:trPr>
        <w:tc>
          <w:tcPr>
            <w:tcW w:w="4040" w:type="dxa"/>
            <w:vAlign w:val="bottom"/>
            <w:tcBorders>
              <w:bottom w:val="single" w:sz="8" w:color="auto"/>
            </w:tcBorders>
            <w:gridSpan w:val="3"/>
          </w:tcPr>
          <w:p>
            <w:pPr>
              <w:ind w:left="20"/>
              <w:spacing w:after="0"/>
              <w:rPr>
                <w:sz w:val="20"/>
                <w:szCs w:val="20"/>
                <w:color w:val="auto"/>
              </w:rPr>
            </w:pPr>
            <w:r>
              <w:rPr>
                <w:rFonts w:ascii="Times New Roman" w:cs="Times New Roman" w:eastAsia="Times New Roman" w:hAnsi="Times New Roman"/>
                <w:sz w:val="18"/>
                <w:szCs w:val="18"/>
                <w:color w:val="auto"/>
              </w:rPr>
              <w:t>outstanding)</w:t>
            </w:r>
          </w:p>
        </w:tc>
        <w:tc>
          <w:tcPr>
            <w:tcW w:w="100" w:type="dxa"/>
            <w:vAlign w:val="bottom"/>
            <w:tcBorders>
              <w:bottom w:val="single" w:sz="8" w:color="CCEEFF"/>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vMerge w:val="continue"/>
          </w:tcPr>
          <w:p>
            <w:pPr>
              <w:spacing w:after="0"/>
              <w:rPr>
                <w:sz w:val="20"/>
                <w:szCs w:val="20"/>
                <w:color w:val="auto"/>
              </w:rPr>
            </w:pPr>
          </w:p>
        </w:tc>
        <w:tc>
          <w:tcPr>
            <w:tcW w:w="80" w:type="dxa"/>
            <w:vAlign w:val="bottom"/>
            <w:tcBorders>
              <w:bottom w:val="single" w:sz="8" w:color="CCEEFF"/>
            </w:tcBorders>
            <w:vMerge w:val="continue"/>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32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34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57"/>
        </w:trPr>
        <w:tc>
          <w:tcPr>
            <w:tcW w:w="4140" w:type="dxa"/>
            <w:vAlign w:val="bottom"/>
            <w:gridSpan w:val="4"/>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equity</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1,005</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992</w:t>
            </w:r>
          </w:p>
        </w:tc>
        <w:tc>
          <w:tcPr>
            <w:tcW w:w="8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1,037</w:t>
            </w:r>
          </w:p>
        </w:tc>
        <w:tc>
          <w:tcPr>
            <w:tcW w:w="100" w:type="dxa"/>
            <w:vAlign w:val="bottom"/>
            <w:shd w:val="clear" w:color="auto" w:fill="CCEEFF"/>
          </w:tcPr>
          <w:p>
            <w:pPr>
              <w:spacing w:after="0"/>
              <w:rPr>
                <w:sz w:val="22"/>
                <w:szCs w:val="22"/>
                <w:color w:val="auto"/>
              </w:rPr>
            </w:pPr>
          </w:p>
        </w:tc>
        <w:tc>
          <w:tcPr>
            <w:tcW w:w="13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1 %</w:t>
            </w:r>
          </w:p>
        </w:tc>
        <w:tc>
          <w:tcPr>
            <w:tcW w:w="100" w:type="dxa"/>
            <w:vAlign w:val="bottom"/>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-3 %</w:t>
            </w:r>
          </w:p>
        </w:tc>
        <w:tc>
          <w:tcPr>
            <w:tcW w:w="0" w:type="dxa"/>
            <w:vAlign w:val="bottom"/>
          </w:tcPr>
          <w:p>
            <w:pPr>
              <w:spacing w:after="0"/>
              <w:rPr>
                <w:sz w:val="1"/>
                <w:szCs w:val="1"/>
                <w:color w:val="auto"/>
              </w:rPr>
            </w:pPr>
          </w:p>
        </w:tc>
      </w:tr>
      <w:tr>
        <w:trPr>
          <w:trHeight w:val="189"/>
        </w:trPr>
        <w:tc>
          <w:tcPr>
            <w:tcW w:w="4140" w:type="dxa"/>
            <w:vAlign w:val="bottom"/>
            <w:gridSpan w:val="4"/>
          </w:tcPr>
          <w:p>
            <w:pPr>
              <w:ind w:left="20"/>
              <w:spacing w:after="0" w:line="189" w:lineRule="exact"/>
              <w:rPr>
                <w:sz w:val="20"/>
                <w:szCs w:val="20"/>
                <w:color w:val="auto"/>
              </w:rPr>
            </w:pPr>
            <w:r>
              <w:rPr>
                <w:rFonts w:ascii="Times New Roman" w:cs="Times New Roman" w:eastAsia="Times New Roman" w:hAnsi="Times New Roman"/>
                <w:sz w:val="18"/>
                <w:szCs w:val="18"/>
                <w:color w:val="auto"/>
              </w:rPr>
              <w:t>Tier 1 capital to risk weighted assets (Basel III – IRB)</w:t>
            </w:r>
          </w:p>
        </w:tc>
        <w:tc>
          <w:tcPr>
            <w:tcW w:w="180" w:type="dxa"/>
            <w:vAlign w:val="bottom"/>
          </w:tcPr>
          <w:p>
            <w:pPr>
              <w:spacing w:after="0"/>
              <w:rPr>
                <w:sz w:val="16"/>
                <w:szCs w:val="16"/>
                <w:color w:val="auto"/>
              </w:rPr>
            </w:pPr>
          </w:p>
        </w:tc>
        <w:tc>
          <w:tcPr>
            <w:tcW w:w="11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16.2 %</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19.1 %</w:t>
            </w: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26.3 %</w:t>
            </w:r>
          </w:p>
        </w:tc>
        <w:tc>
          <w:tcPr>
            <w:tcW w:w="100" w:type="dxa"/>
            <w:vAlign w:val="bottom"/>
          </w:tcPr>
          <w:p>
            <w:pPr>
              <w:spacing w:after="0"/>
              <w:rPr>
                <w:sz w:val="16"/>
                <w:szCs w:val="16"/>
                <w:color w:val="auto"/>
              </w:rPr>
            </w:pPr>
          </w:p>
        </w:tc>
        <w:tc>
          <w:tcPr>
            <w:tcW w:w="13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-15 %</w:t>
            </w:r>
          </w:p>
        </w:tc>
        <w:tc>
          <w:tcPr>
            <w:tcW w:w="100" w:type="dxa"/>
            <w:vAlign w:val="bottom"/>
          </w:tcPr>
          <w:p>
            <w:pPr>
              <w:spacing w:after="0"/>
              <w:rPr>
                <w:sz w:val="16"/>
                <w:szCs w:val="16"/>
                <w:color w:val="auto"/>
              </w:rPr>
            </w:pPr>
          </w:p>
        </w:tc>
        <w:tc>
          <w:tcPr>
            <w:tcW w:w="13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-39 %</w:t>
            </w:r>
          </w:p>
        </w:tc>
        <w:tc>
          <w:tcPr>
            <w:tcW w:w="0" w:type="dxa"/>
            <w:vAlign w:val="bottom"/>
          </w:tcPr>
          <w:p>
            <w:pPr>
              <w:spacing w:after="0"/>
              <w:rPr>
                <w:sz w:val="1"/>
                <w:szCs w:val="1"/>
                <w:color w:val="auto"/>
              </w:rPr>
            </w:pPr>
          </w:p>
        </w:tc>
      </w:tr>
      <w:tr>
        <w:trPr>
          <w:trHeight w:val="196"/>
        </w:trPr>
        <w:tc>
          <w:tcPr>
            <w:tcW w:w="2620" w:type="dxa"/>
            <w:vAlign w:val="bottom"/>
          </w:tcPr>
          <w:p>
            <w:pPr>
              <w:ind w:left="20"/>
              <w:spacing w:after="0"/>
              <w:rPr>
                <w:sz w:val="20"/>
                <w:szCs w:val="20"/>
                <w:color w:val="auto"/>
              </w:rPr>
            </w:pPr>
            <w:r>
              <w:rPr>
                <w:rFonts w:ascii="Times New Roman" w:cs="Times New Roman" w:eastAsia="Times New Roman" w:hAnsi="Times New Roman"/>
                <w:sz w:val="12"/>
                <w:szCs w:val="12"/>
                <w:color w:val="auto"/>
              </w:rPr>
              <w:t>(9)</w:t>
            </w: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132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63"/>
        </w:trPr>
        <w:tc>
          <w:tcPr>
            <w:tcW w:w="4140" w:type="dxa"/>
            <w:vAlign w:val="bottom"/>
            <w:gridSpan w:val="4"/>
            <w:shd w:val="clear" w:color="auto" w:fill="CCEEFF"/>
          </w:tcPr>
          <w:p>
            <w:pPr>
              <w:ind w:left="20"/>
              <w:spacing w:after="0" w:line="263" w:lineRule="exact"/>
              <w:rPr>
                <w:sz w:val="20"/>
                <w:szCs w:val="20"/>
                <w:color w:val="auto"/>
              </w:rPr>
            </w:pPr>
            <w:r>
              <w:rPr>
                <w:rFonts w:ascii="Times New Roman" w:cs="Times New Roman" w:eastAsia="Times New Roman" w:hAnsi="Times New Roman"/>
                <w:sz w:val="18"/>
                <w:szCs w:val="18"/>
                <w:color w:val="auto"/>
              </w:rPr>
              <w:t>Risk-Weighted Assets (Basel III – IRB)</w:t>
            </w:r>
            <w:r>
              <w:rPr>
                <w:rFonts w:ascii="Times New Roman" w:cs="Times New Roman" w:eastAsia="Times New Roman" w:hAnsi="Times New Roman"/>
                <w:sz w:val="23"/>
                <w:szCs w:val="23"/>
                <w:color w:val="auto"/>
                <w:vertAlign w:val="superscript"/>
              </w:rPr>
              <w:t>(9)</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6,224</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5,189</w:t>
            </w:r>
          </w:p>
        </w:tc>
        <w:tc>
          <w:tcPr>
            <w:tcW w:w="80" w:type="dxa"/>
            <w:vAlign w:val="bottom"/>
            <w:shd w:val="clear" w:color="auto" w:fill="CCEEFF"/>
          </w:tcPr>
          <w:p>
            <w:pPr>
              <w:spacing w:after="0"/>
              <w:rPr>
                <w:sz w:val="22"/>
                <w:szCs w:val="22"/>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3,935</w:t>
            </w:r>
          </w:p>
        </w:tc>
        <w:tc>
          <w:tcPr>
            <w:tcW w:w="100" w:type="dxa"/>
            <w:vAlign w:val="bottom"/>
            <w:shd w:val="clear" w:color="auto" w:fill="CCEEFF"/>
          </w:tcPr>
          <w:p>
            <w:pPr>
              <w:spacing w:after="0"/>
              <w:rPr>
                <w:sz w:val="22"/>
                <w:szCs w:val="22"/>
                <w:color w:val="auto"/>
              </w:rPr>
            </w:pPr>
          </w:p>
        </w:tc>
        <w:tc>
          <w:tcPr>
            <w:tcW w:w="13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20 %</w:t>
            </w:r>
          </w:p>
        </w:tc>
        <w:tc>
          <w:tcPr>
            <w:tcW w:w="100" w:type="dxa"/>
            <w:vAlign w:val="bottom"/>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58 %</w:t>
            </w:r>
          </w:p>
        </w:tc>
        <w:tc>
          <w:tcPr>
            <w:tcW w:w="0" w:type="dxa"/>
            <w:vAlign w:val="bottom"/>
          </w:tcPr>
          <w:p>
            <w:pPr>
              <w:spacing w:after="0"/>
              <w:rPr>
                <w:sz w:val="1"/>
                <w:szCs w:val="1"/>
                <w:color w:val="auto"/>
              </w:rPr>
            </w:pPr>
          </w:p>
        </w:tc>
      </w:tr>
      <w:tr>
        <w:trPr>
          <w:trHeight w:val="257"/>
        </w:trPr>
        <w:tc>
          <w:tcPr>
            <w:tcW w:w="4140" w:type="dxa"/>
            <w:vAlign w:val="bottom"/>
            <w:gridSpan w:val="4"/>
          </w:tcPr>
          <w:p>
            <w:pPr>
              <w:ind w:left="20"/>
              <w:spacing w:after="0" w:line="256" w:lineRule="exact"/>
              <w:rPr>
                <w:sz w:val="20"/>
                <w:szCs w:val="20"/>
                <w:color w:val="auto"/>
              </w:rPr>
            </w:pPr>
            <w:r>
              <w:rPr>
                <w:rFonts w:ascii="Times New Roman" w:cs="Times New Roman" w:eastAsia="Times New Roman" w:hAnsi="Times New Roman"/>
                <w:sz w:val="18"/>
                <w:szCs w:val="18"/>
                <w:color w:val="auto"/>
              </w:rPr>
              <w:t xml:space="preserve">Capital Adequacy Ratio (Regulatory) </w:t>
            </w:r>
            <w:r>
              <w:rPr>
                <w:rFonts w:ascii="Times New Roman" w:cs="Times New Roman" w:eastAsia="Times New Roman" w:hAnsi="Times New Roman"/>
                <w:sz w:val="23"/>
                <w:szCs w:val="23"/>
                <w:color w:val="auto"/>
                <w:vertAlign w:val="superscript"/>
              </w:rPr>
              <w:t>(10)</w:t>
            </w:r>
          </w:p>
        </w:tc>
        <w:tc>
          <w:tcPr>
            <w:tcW w:w="18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13.4 %</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15.6 %</w:t>
            </w:r>
          </w:p>
        </w:tc>
        <w:tc>
          <w:tcPr>
            <w:tcW w:w="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19.4 %</w:t>
            </w:r>
          </w:p>
        </w:tc>
        <w:tc>
          <w:tcPr>
            <w:tcW w:w="100" w:type="dxa"/>
            <w:vAlign w:val="bottom"/>
          </w:tcPr>
          <w:p>
            <w:pPr>
              <w:spacing w:after="0"/>
              <w:rPr>
                <w:sz w:val="22"/>
                <w:szCs w:val="22"/>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-14 %</w:t>
            </w:r>
          </w:p>
        </w:tc>
        <w:tc>
          <w:tcPr>
            <w:tcW w:w="100" w:type="dxa"/>
            <w:vAlign w:val="bottom"/>
          </w:tcPr>
          <w:p>
            <w:pPr>
              <w:spacing w:after="0"/>
              <w:rPr>
                <w:sz w:val="22"/>
                <w:szCs w:val="22"/>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-31 %</w:t>
            </w:r>
          </w:p>
        </w:tc>
        <w:tc>
          <w:tcPr>
            <w:tcW w:w="0" w:type="dxa"/>
            <w:vAlign w:val="bottom"/>
          </w:tcPr>
          <w:p>
            <w:pPr>
              <w:spacing w:after="0"/>
              <w:rPr>
                <w:sz w:val="1"/>
                <w:szCs w:val="1"/>
                <w:color w:val="auto"/>
              </w:rPr>
            </w:pPr>
          </w:p>
        </w:tc>
      </w:tr>
      <w:tr>
        <w:trPr>
          <w:trHeight w:val="169"/>
        </w:trPr>
        <w:tc>
          <w:tcPr>
            <w:tcW w:w="2620" w:type="dxa"/>
            <w:vAlign w:val="bottom"/>
            <w:vMerge w:val="restart"/>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shd w:val="clear" w:color="auto" w:fill="CCEEFF"/>
              </w:rPr>
              <w:t>Risk-Weighted Assets (Regulatory)</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2"/>
                <w:szCs w:val="12"/>
                <w:color w:val="auto"/>
                <w:w w:val="89"/>
                <w:shd w:val="clear" w:color="auto" w:fill="CCEEFF"/>
              </w:rPr>
              <w:t>(10)</w:t>
            </w:r>
          </w:p>
        </w:tc>
        <w:tc>
          <w:tcPr>
            <w:tcW w:w="1320" w:type="dxa"/>
            <w:vAlign w:val="bottom"/>
            <w:gridSpan w:val="2"/>
            <w:vMerge w:val="restart"/>
            <w:shd w:val="clear" w:color="auto" w:fill="CCEEFF"/>
          </w:tcPr>
          <w:p>
            <w:pPr>
              <w:spacing w:after="0"/>
              <w:rPr>
                <w:sz w:val="14"/>
                <w:szCs w:val="14"/>
                <w:color w:val="auto"/>
              </w:rPr>
            </w:pPr>
          </w:p>
        </w:tc>
        <w:tc>
          <w:tcPr>
            <w:tcW w:w="1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60" w:type="dxa"/>
            <w:vAlign w:val="bottom"/>
            <w:vMerge w:val="restart"/>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7,555</w:t>
            </w:r>
          </w:p>
        </w:tc>
        <w:tc>
          <w:tcPr>
            <w:tcW w:w="100" w:type="dxa"/>
            <w:vAlign w:val="bottom"/>
            <w:shd w:val="clear" w:color="auto" w:fill="CCEEFF"/>
          </w:tcPr>
          <w:p>
            <w:pPr>
              <w:spacing w:after="0"/>
              <w:rPr>
                <w:sz w:val="14"/>
                <w:szCs w:val="14"/>
                <w:color w:val="auto"/>
              </w:rPr>
            </w:pPr>
          </w:p>
        </w:tc>
        <w:tc>
          <w:tcPr>
            <w:tcW w:w="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vMerge w:val="restart"/>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6,513</w:t>
            </w:r>
          </w:p>
        </w:tc>
        <w:tc>
          <w:tcPr>
            <w:tcW w:w="80" w:type="dxa"/>
            <w:vAlign w:val="bottom"/>
            <w:shd w:val="clear" w:color="auto" w:fill="CCEEFF"/>
          </w:tcPr>
          <w:p>
            <w:pPr>
              <w:spacing w:after="0"/>
              <w:rPr>
                <w:sz w:val="14"/>
                <w:szCs w:val="14"/>
                <w:color w:val="auto"/>
              </w:rPr>
            </w:pPr>
          </w:p>
        </w:tc>
        <w:tc>
          <w:tcPr>
            <w:tcW w:w="2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vMerge w:val="restart"/>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5,431</w:t>
            </w:r>
          </w:p>
        </w:tc>
        <w:tc>
          <w:tcPr>
            <w:tcW w:w="100" w:type="dxa"/>
            <w:vAlign w:val="bottom"/>
            <w:shd w:val="clear" w:color="auto" w:fill="CCEEFF"/>
          </w:tcPr>
          <w:p>
            <w:pPr>
              <w:spacing w:after="0"/>
              <w:rPr>
                <w:sz w:val="14"/>
                <w:szCs w:val="14"/>
                <w:color w:val="auto"/>
              </w:rPr>
            </w:pPr>
          </w:p>
        </w:tc>
        <w:tc>
          <w:tcPr>
            <w:tcW w:w="13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16 %</w:t>
            </w:r>
          </w:p>
        </w:tc>
        <w:tc>
          <w:tcPr>
            <w:tcW w:w="100" w:type="dxa"/>
            <w:vAlign w:val="bottom"/>
            <w:shd w:val="clear" w:color="auto" w:fill="CCEEFF"/>
          </w:tcPr>
          <w:p>
            <w:pPr>
              <w:spacing w:after="0"/>
              <w:rPr>
                <w:sz w:val="14"/>
                <w:szCs w:val="14"/>
                <w:color w:val="auto"/>
              </w:rPr>
            </w:pP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39 %</w:t>
            </w:r>
          </w:p>
        </w:tc>
        <w:tc>
          <w:tcPr>
            <w:tcW w:w="0" w:type="dxa"/>
            <w:vAlign w:val="bottom"/>
          </w:tcPr>
          <w:p>
            <w:pPr>
              <w:spacing w:after="0"/>
              <w:rPr>
                <w:sz w:val="1"/>
                <w:szCs w:val="1"/>
                <w:color w:val="auto"/>
              </w:rPr>
            </w:pPr>
          </w:p>
        </w:tc>
      </w:tr>
      <w:tr>
        <w:trPr>
          <w:trHeight w:val="67"/>
        </w:trPr>
        <w:tc>
          <w:tcPr>
            <w:tcW w:w="2620" w:type="dxa"/>
            <w:vAlign w:val="bottom"/>
            <w:tcBorders>
              <w:bottom w:val="single" w:sz="8" w:color="CCEEFF"/>
            </w:tcBorders>
            <w:vMerge w:val="continue"/>
            <w:shd w:val="clear" w:color="auto" w:fill="CCEEFF"/>
          </w:tcPr>
          <w:p>
            <w:pPr>
              <w:spacing w:after="0"/>
              <w:rPr>
                <w:sz w:val="5"/>
                <w:szCs w:val="5"/>
                <w:color w:val="auto"/>
              </w:rPr>
            </w:pPr>
          </w:p>
        </w:tc>
        <w:tc>
          <w:tcPr>
            <w:tcW w:w="200" w:type="dxa"/>
            <w:vAlign w:val="bottom"/>
            <w:tcBorders>
              <w:bottom w:val="single" w:sz="8" w:color="CCEEFF"/>
            </w:tcBorders>
            <w:shd w:val="clear" w:color="auto" w:fill="CCEEFF"/>
          </w:tcPr>
          <w:p>
            <w:pPr>
              <w:spacing w:after="0"/>
              <w:rPr>
                <w:sz w:val="5"/>
                <w:szCs w:val="5"/>
                <w:color w:val="auto"/>
              </w:rPr>
            </w:pPr>
          </w:p>
        </w:tc>
        <w:tc>
          <w:tcPr>
            <w:tcW w:w="1320" w:type="dxa"/>
            <w:vAlign w:val="bottom"/>
            <w:tcBorders>
              <w:bottom w:val="single" w:sz="8" w:color="CCEEFF"/>
            </w:tcBorders>
            <w:gridSpan w:val="2"/>
            <w:vMerge w:val="continue"/>
            <w:shd w:val="clear" w:color="auto" w:fill="CCEEFF"/>
          </w:tcPr>
          <w:p>
            <w:pPr>
              <w:spacing w:after="0"/>
              <w:rPr>
                <w:sz w:val="5"/>
                <w:szCs w:val="5"/>
                <w:color w:val="auto"/>
              </w:rPr>
            </w:pPr>
          </w:p>
        </w:tc>
        <w:tc>
          <w:tcPr>
            <w:tcW w:w="180" w:type="dxa"/>
            <w:vAlign w:val="bottom"/>
            <w:tcBorders>
              <w:bottom w:val="single" w:sz="8" w:color="CCEEFF"/>
            </w:tcBorders>
            <w:vMerge w:val="continue"/>
            <w:shd w:val="clear" w:color="auto" w:fill="CCEEFF"/>
          </w:tcPr>
          <w:p>
            <w:pPr>
              <w:spacing w:after="0"/>
              <w:rPr>
                <w:sz w:val="5"/>
                <w:szCs w:val="5"/>
                <w:color w:val="auto"/>
              </w:rPr>
            </w:pPr>
          </w:p>
        </w:tc>
        <w:tc>
          <w:tcPr>
            <w:tcW w:w="1160" w:type="dxa"/>
            <w:vAlign w:val="bottom"/>
            <w:tcBorders>
              <w:bottom w:val="single" w:sz="8" w:color="CCEEFF"/>
            </w:tcBorders>
            <w:vMerge w:val="continue"/>
            <w:shd w:val="clear" w:color="auto" w:fill="CCEEFF"/>
          </w:tcPr>
          <w:p>
            <w:pPr>
              <w:spacing w:after="0"/>
              <w:rPr>
                <w:sz w:val="5"/>
                <w:szCs w:val="5"/>
                <w:color w:val="auto"/>
              </w:rPr>
            </w:pPr>
          </w:p>
        </w:tc>
        <w:tc>
          <w:tcPr>
            <w:tcW w:w="100" w:type="dxa"/>
            <w:vAlign w:val="bottom"/>
            <w:tcBorders>
              <w:bottom w:val="single" w:sz="8" w:color="CCEEFF"/>
            </w:tcBorders>
            <w:shd w:val="clear" w:color="auto" w:fill="CCEEFF"/>
          </w:tcPr>
          <w:p>
            <w:pPr>
              <w:spacing w:after="0"/>
              <w:rPr>
                <w:sz w:val="5"/>
                <w:szCs w:val="5"/>
                <w:color w:val="auto"/>
              </w:rPr>
            </w:pPr>
          </w:p>
        </w:tc>
        <w:tc>
          <w:tcPr>
            <w:tcW w:w="200" w:type="dxa"/>
            <w:vAlign w:val="bottom"/>
            <w:tcBorders>
              <w:bottom w:val="single" w:sz="8" w:color="CCEEFF"/>
            </w:tcBorders>
            <w:vMerge w:val="continue"/>
            <w:shd w:val="clear" w:color="auto" w:fill="CCEEFF"/>
          </w:tcPr>
          <w:p>
            <w:pPr>
              <w:spacing w:after="0"/>
              <w:rPr>
                <w:sz w:val="5"/>
                <w:szCs w:val="5"/>
                <w:color w:val="auto"/>
              </w:rPr>
            </w:pPr>
          </w:p>
        </w:tc>
        <w:tc>
          <w:tcPr>
            <w:tcW w:w="1160" w:type="dxa"/>
            <w:vAlign w:val="bottom"/>
            <w:tcBorders>
              <w:bottom w:val="single" w:sz="8" w:color="CCEEFF"/>
            </w:tcBorders>
            <w:vMerge w:val="continue"/>
            <w:shd w:val="clear" w:color="auto" w:fill="CCEEFF"/>
          </w:tcPr>
          <w:p>
            <w:pPr>
              <w:spacing w:after="0"/>
              <w:rPr>
                <w:sz w:val="5"/>
                <w:szCs w:val="5"/>
                <w:color w:val="auto"/>
              </w:rPr>
            </w:pPr>
          </w:p>
        </w:tc>
        <w:tc>
          <w:tcPr>
            <w:tcW w:w="80" w:type="dxa"/>
            <w:vAlign w:val="bottom"/>
            <w:tcBorders>
              <w:bottom w:val="single" w:sz="8" w:color="CCEEFF"/>
            </w:tcBorders>
            <w:shd w:val="clear" w:color="auto" w:fill="CCEEFF"/>
          </w:tcPr>
          <w:p>
            <w:pPr>
              <w:spacing w:after="0"/>
              <w:rPr>
                <w:sz w:val="5"/>
                <w:szCs w:val="5"/>
                <w:color w:val="auto"/>
              </w:rPr>
            </w:pPr>
          </w:p>
        </w:tc>
        <w:tc>
          <w:tcPr>
            <w:tcW w:w="200" w:type="dxa"/>
            <w:vAlign w:val="bottom"/>
            <w:tcBorders>
              <w:bottom w:val="single" w:sz="8" w:color="CCEEFF"/>
            </w:tcBorders>
            <w:vMerge w:val="continue"/>
            <w:shd w:val="clear" w:color="auto" w:fill="CCEEFF"/>
          </w:tcPr>
          <w:p>
            <w:pPr>
              <w:spacing w:after="0"/>
              <w:rPr>
                <w:sz w:val="5"/>
                <w:szCs w:val="5"/>
                <w:color w:val="auto"/>
              </w:rPr>
            </w:pPr>
          </w:p>
        </w:tc>
        <w:tc>
          <w:tcPr>
            <w:tcW w:w="1160" w:type="dxa"/>
            <w:vAlign w:val="bottom"/>
            <w:tcBorders>
              <w:bottom w:val="single" w:sz="8" w:color="CCEEFF"/>
            </w:tcBorders>
            <w:vMerge w:val="continue"/>
            <w:shd w:val="clear" w:color="auto" w:fill="CCEEFF"/>
          </w:tcPr>
          <w:p>
            <w:pPr>
              <w:spacing w:after="0"/>
              <w:rPr>
                <w:sz w:val="5"/>
                <w:szCs w:val="5"/>
                <w:color w:val="auto"/>
              </w:rPr>
            </w:pPr>
          </w:p>
        </w:tc>
        <w:tc>
          <w:tcPr>
            <w:tcW w:w="100" w:type="dxa"/>
            <w:vAlign w:val="bottom"/>
            <w:tcBorders>
              <w:bottom w:val="single" w:sz="8" w:color="CCEEFF"/>
            </w:tcBorders>
            <w:shd w:val="clear" w:color="auto" w:fill="CCEEFF"/>
          </w:tcPr>
          <w:p>
            <w:pPr>
              <w:spacing w:after="0"/>
              <w:rPr>
                <w:sz w:val="5"/>
                <w:szCs w:val="5"/>
                <w:color w:val="auto"/>
              </w:rPr>
            </w:pPr>
          </w:p>
        </w:tc>
        <w:tc>
          <w:tcPr>
            <w:tcW w:w="1320" w:type="dxa"/>
            <w:vAlign w:val="bottom"/>
            <w:tcBorders>
              <w:bottom w:val="single" w:sz="8" w:color="CCEEFF"/>
            </w:tcBorders>
            <w:vMerge w:val="continue"/>
            <w:shd w:val="clear" w:color="auto" w:fill="CCEEFF"/>
          </w:tcPr>
          <w:p>
            <w:pPr>
              <w:spacing w:after="0"/>
              <w:rPr>
                <w:sz w:val="5"/>
                <w:szCs w:val="5"/>
                <w:color w:val="auto"/>
              </w:rPr>
            </w:pPr>
          </w:p>
        </w:tc>
        <w:tc>
          <w:tcPr>
            <w:tcW w:w="100" w:type="dxa"/>
            <w:vAlign w:val="bottom"/>
            <w:tcBorders>
              <w:bottom w:val="single" w:sz="8" w:color="CCEEFF"/>
            </w:tcBorders>
            <w:shd w:val="clear" w:color="auto" w:fill="CCEEFF"/>
          </w:tcPr>
          <w:p>
            <w:pPr>
              <w:spacing w:after="0"/>
              <w:rPr>
                <w:sz w:val="5"/>
                <w:szCs w:val="5"/>
                <w:color w:val="auto"/>
              </w:rPr>
            </w:pPr>
          </w:p>
        </w:tc>
        <w:tc>
          <w:tcPr>
            <w:tcW w:w="1340" w:type="dxa"/>
            <w:vAlign w:val="bottom"/>
            <w:tcBorders>
              <w:bottom w:val="single" w:sz="8" w:color="CCEEFF"/>
            </w:tcBorders>
            <w:vMerge w:val="continue"/>
            <w:shd w:val="clear" w:color="auto" w:fill="CCEEFF"/>
          </w:tcPr>
          <w:p>
            <w:pPr>
              <w:spacing w:after="0"/>
              <w:rPr>
                <w:sz w:val="5"/>
                <w:szCs w:val="5"/>
                <w:color w:val="auto"/>
              </w:rPr>
            </w:pPr>
          </w:p>
        </w:tc>
        <w:tc>
          <w:tcPr>
            <w:tcW w:w="0" w:type="dxa"/>
            <w:vAlign w:val="bottom"/>
          </w:tcPr>
          <w:p>
            <w:pPr>
              <w:spacing w:after="0"/>
              <w:rPr>
                <w:sz w:val="1"/>
                <w:szCs w:val="1"/>
                <w:color w:val="auto"/>
              </w:rPr>
            </w:pPr>
          </w:p>
        </w:tc>
      </w:tr>
      <w:tr>
        <w:trPr>
          <w:trHeight w:val="250"/>
        </w:trPr>
        <w:tc>
          <w:tcPr>
            <w:tcW w:w="41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Total assets / Total equity (times)</w:t>
            </w:r>
          </w:p>
        </w:tc>
        <w:tc>
          <w:tcPr>
            <w:tcW w:w="180" w:type="dxa"/>
            <w:vAlign w:val="bottom"/>
          </w:tcPr>
          <w:p>
            <w:pPr>
              <w:spacing w:after="0"/>
              <w:rPr>
                <w:sz w:val="21"/>
                <w:szCs w:val="21"/>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8.1</w:t>
            </w:r>
          </w:p>
        </w:tc>
        <w:tc>
          <w:tcPr>
            <w:tcW w:w="8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6.1</w:t>
            </w:r>
          </w:p>
        </w:tc>
        <w:tc>
          <w:tcPr>
            <w:tcW w:w="100" w:type="dxa"/>
            <w:vAlign w:val="bottom"/>
          </w:tcPr>
          <w:p>
            <w:pPr>
              <w:spacing w:after="0"/>
              <w:rPr>
                <w:sz w:val="21"/>
                <w:szCs w:val="21"/>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4 %</w:t>
            </w:r>
          </w:p>
        </w:tc>
        <w:tc>
          <w:tcPr>
            <w:tcW w:w="100" w:type="dxa"/>
            <w:vAlign w:val="bottom"/>
          </w:tcPr>
          <w:p>
            <w:pPr>
              <w:spacing w:after="0"/>
              <w:rPr>
                <w:sz w:val="21"/>
                <w:szCs w:val="21"/>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37 %</w:t>
            </w:r>
          </w:p>
        </w:tc>
        <w:tc>
          <w:tcPr>
            <w:tcW w:w="0" w:type="dxa"/>
            <w:vAlign w:val="bottom"/>
          </w:tcPr>
          <w:p>
            <w:pPr>
              <w:spacing w:after="0"/>
              <w:rPr>
                <w:sz w:val="1"/>
                <w:szCs w:val="1"/>
                <w:color w:val="auto"/>
              </w:rPr>
            </w:pPr>
          </w:p>
        </w:tc>
      </w:tr>
      <w:tr>
        <w:trPr>
          <w:trHeight w:val="257"/>
        </w:trPr>
        <w:tc>
          <w:tcPr>
            <w:tcW w:w="4140" w:type="dxa"/>
            <w:vAlign w:val="bottom"/>
            <w:gridSpan w:val="4"/>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Shares outstanding (in thousand)</w:t>
            </w:r>
          </w:p>
        </w:tc>
        <w:tc>
          <w:tcPr>
            <w:tcW w:w="180" w:type="dxa"/>
            <w:vAlign w:val="bottom"/>
            <w:tcBorders>
              <w:bottom w:val="single" w:sz="8" w:color="auto"/>
            </w:tcBorders>
            <w:shd w:val="clear" w:color="auto" w:fill="CCEEFF"/>
          </w:tcPr>
          <w:p>
            <w:pPr>
              <w:spacing w:after="0"/>
              <w:rPr>
                <w:sz w:val="22"/>
                <w:szCs w:val="22"/>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36,268</w:t>
            </w:r>
          </w:p>
        </w:tc>
        <w:tc>
          <w:tcPr>
            <w:tcW w:w="10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36,231</w:t>
            </w:r>
          </w:p>
        </w:tc>
        <w:tc>
          <w:tcPr>
            <w:tcW w:w="80" w:type="dxa"/>
            <w:vAlign w:val="bottom"/>
            <w:shd w:val="clear" w:color="auto" w:fill="CCEEFF"/>
          </w:tcPr>
          <w:p>
            <w:pPr>
              <w:spacing w:after="0"/>
              <w:rPr>
                <w:sz w:val="22"/>
                <w:szCs w:val="22"/>
                <w:color w:val="auto"/>
              </w:rPr>
            </w:pPr>
          </w:p>
        </w:tc>
        <w:tc>
          <w:tcPr>
            <w:tcW w:w="200" w:type="dxa"/>
            <w:vAlign w:val="bottom"/>
            <w:tcBorders>
              <w:bottom w:val="single" w:sz="8" w:color="auto"/>
            </w:tcBorders>
            <w:shd w:val="clear" w:color="auto" w:fill="CCEEFF"/>
          </w:tcPr>
          <w:p>
            <w:pPr>
              <w:spacing w:after="0"/>
              <w:rPr>
                <w:sz w:val="22"/>
                <w:szCs w:val="22"/>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39,703</w:t>
            </w:r>
          </w:p>
        </w:tc>
        <w:tc>
          <w:tcPr>
            <w:tcW w:w="100" w:type="dxa"/>
            <w:vAlign w:val="bottom"/>
            <w:shd w:val="clear" w:color="auto" w:fill="CCEEFF"/>
          </w:tcPr>
          <w:p>
            <w:pPr>
              <w:spacing w:after="0"/>
              <w:rPr>
                <w:sz w:val="22"/>
                <w:szCs w:val="22"/>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0 %</w:t>
            </w:r>
          </w:p>
        </w:tc>
        <w:tc>
          <w:tcPr>
            <w:tcW w:w="100" w:type="dxa"/>
            <w:vAlign w:val="bottom"/>
            <w:tcBorders>
              <w:bottom w:val="single" w:sz="8" w:color="auto"/>
            </w:tcBorders>
            <w:shd w:val="clear" w:color="auto" w:fill="CCEEFF"/>
          </w:tcPr>
          <w:p>
            <w:pPr>
              <w:spacing w:after="0"/>
              <w:rPr>
                <w:sz w:val="22"/>
                <w:szCs w:val="22"/>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-9 %</w:t>
            </w:r>
          </w:p>
        </w:tc>
        <w:tc>
          <w:tcPr>
            <w:tcW w:w="0" w:type="dxa"/>
            <w:vAlign w:val="bottom"/>
          </w:tcPr>
          <w:p>
            <w:pPr>
              <w:spacing w:after="0"/>
              <w:rPr>
                <w:sz w:val="1"/>
                <w:szCs w:val="1"/>
                <w:color w:val="auto"/>
              </w:rPr>
            </w:pPr>
          </w:p>
        </w:tc>
      </w:tr>
    </w:tbl>
    <w:p>
      <w:pPr>
        <w:spacing w:after="0" w:line="76"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8"/>
          <w:szCs w:val="18"/>
          <w:color w:val="auto"/>
        </w:rPr>
        <w:t>The Bank’s equity consists entirely of issued and fully paid ordinary common stock, with 36.3 million common shares outstanding as of March 31, 2022. At the same date, the Bank’s ratio of total assets to total equity stood at 8.4 times, and the Bank’s Tier 1 Basel III Capital Ratio, in which risk-weighted assets are calculated under the advanced internal ratings-based approach (IRB) for credit risk, decreased to 16.2% due to higher risk-weighted assets, impacted by increased Loan and Investment Portfolios, while equity levels remained relatively stable at over $1 billion. Similarly, the Bank’s Capital Adequacy Ratio, as defined by Panama’s banking regulator, was 13.4% as of March 31, 2022, well above the required minimum of 8%. Under this methodology, credit risk-weighted assets are calculated under Basel’s standardized approach.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1" w:name="page12"/>
    <w:bookmarkEnd w:id="11"/>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RECENT EVENTS</w:t>
      </w:r>
    </w:p>
    <w:p>
      <w:pPr>
        <w:spacing w:after="0" w:line="239" w:lineRule="exact"/>
        <w:rPr>
          <w:sz w:val="20"/>
          <w:szCs w:val="20"/>
          <w:color w:val="auto"/>
        </w:rPr>
      </w:pPr>
    </w:p>
    <w:p>
      <w:pPr>
        <w:ind w:left="400" w:right="340" w:hanging="327"/>
        <w:spacing w:after="0" w:line="256" w:lineRule="auto"/>
        <w:tabs>
          <w:tab w:leader="none" w:pos="395"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Quarterly dividend payment: </w:t>
      </w:r>
      <w:r>
        <w:rPr>
          <w:rFonts w:ascii="Times New Roman" w:cs="Times New Roman" w:eastAsia="Times New Roman" w:hAnsi="Times New Roman"/>
          <w:sz w:val="18"/>
          <w:szCs w:val="18"/>
          <w:color w:val="auto"/>
        </w:rPr>
        <w:t>The Board approved a quarterly common dividend of $0.25 per share corresponding to the first quarter 2022. The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cash dividend will be paid on June 1, 2022, to shareholders registered as of May 16, 2022.</w:t>
      </w:r>
    </w:p>
    <w:p>
      <w:pPr>
        <w:ind w:left="400" w:hanging="327"/>
        <w:spacing w:after="0" w:line="234" w:lineRule="auto"/>
        <w:tabs>
          <w:tab w:leader="none" w:pos="40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Annual Shareholders’ Meeting Results: </w:t>
      </w:r>
      <w:r>
        <w:rPr>
          <w:rFonts w:ascii="Times New Roman" w:cs="Times New Roman" w:eastAsia="Times New Roman" w:hAnsi="Times New Roman"/>
          <w:sz w:val="18"/>
          <w:szCs w:val="18"/>
          <w:color w:val="auto"/>
        </w:rPr>
        <w:t>At the Annual Shareholders’ Meeting held on April 27, 2022, in Panama City, Panama, shareholders:</w:t>
      </w:r>
    </w:p>
    <w:p>
      <w:pPr>
        <w:ind w:left="72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Elected Mr. Fausto de Andrade Ribeiro as Director representing Class “A” shares of the Bank’s common stock.</w:t>
      </w:r>
    </w:p>
    <w:p>
      <w:pPr>
        <w:spacing w:after="0" w:line="7" w:lineRule="exact"/>
        <w:rPr>
          <w:rFonts w:ascii="Times New Roman" w:cs="Times New Roman" w:eastAsia="Times New Roman" w:hAnsi="Times New Roman"/>
          <w:sz w:val="18"/>
          <w:szCs w:val="18"/>
          <w:color w:val="auto"/>
        </w:rPr>
      </w:pPr>
    </w:p>
    <w:p>
      <w:pPr>
        <w:ind w:left="1040" w:right="100" w:hanging="324"/>
        <w:spacing w:after="0" w:line="235"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Elected Mrs. Lorenza Martinez, Mr. Ricardo Manuel Arango and Mr. Roland Holst as Directors representing Class “E” shares of the Bank’s common stock.</w:t>
      </w:r>
    </w:p>
    <w:p>
      <w:pPr>
        <w:spacing w:after="0" w:line="1" w:lineRule="exact"/>
        <w:rPr>
          <w:rFonts w:ascii="Times New Roman" w:cs="Times New Roman" w:eastAsia="Times New Roman" w:hAnsi="Times New Roman"/>
          <w:sz w:val="18"/>
          <w:szCs w:val="18"/>
          <w:color w:val="auto"/>
        </w:rPr>
      </w:pPr>
    </w:p>
    <w:p>
      <w:pPr>
        <w:ind w:left="72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Approved the Bank’s audited consolidated financial statements for the fiscal year ended December 31, 2021.</w:t>
      </w:r>
    </w:p>
    <w:p>
      <w:pPr>
        <w:spacing w:after="0" w:line="7" w:lineRule="exact"/>
        <w:rPr>
          <w:rFonts w:ascii="Times New Roman" w:cs="Times New Roman" w:eastAsia="Times New Roman" w:hAnsi="Times New Roman"/>
          <w:sz w:val="18"/>
          <w:szCs w:val="18"/>
          <w:color w:val="auto"/>
        </w:rPr>
      </w:pPr>
    </w:p>
    <w:p>
      <w:pPr>
        <w:ind w:left="720"/>
        <w:spacing w:after="0" w:line="236"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Ratified KPMG as the Bank’s independent registered public accounting firm for the fiscal year ending December 31, 2022.</w:t>
      </w:r>
    </w:p>
    <w:p>
      <w:pPr>
        <w:ind w:left="720"/>
        <w:spacing w:after="0" w:line="234"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Approved, on an advisory basis, the compensation of the Bank’s executive officers.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Notes:</w:t>
      </w:r>
    </w:p>
    <w:p>
      <w:pPr>
        <w:spacing w:after="0" w:line="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   Numbers and percentages set forth in this earnings release have been rounded and accordingly may not total exactly.</w:t>
      </w:r>
    </w:p>
    <w:p>
      <w:pPr>
        <w:ind w:left="340"/>
        <w:spacing w:after="0" w:line="234" w:lineRule="auto"/>
        <w:rPr>
          <w:sz w:val="20"/>
          <w:szCs w:val="20"/>
          <w:color w:val="auto"/>
        </w:rPr>
      </w:pPr>
      <w:r>
        <w:rPr>
          <w:rFonts w:ascii="Times New Roman" w:cs="Times New Roman" w:eastAsia="Times New Roman" w:hAnsi="Times New Roman"/>
          <w:sz w:val="18"/>
          <w:szCs w:val="18"/>
          <w:color w:val="auto"/>
        </w:rPr>
        <w:t>–   QoQ and YoY refer to quarter-on-quarter and year-on-year variations, respectively.</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Footnotes:</w:t>
      </w:r>
    </w:p>
    <w:p>
      <w:pPr>
        <w:spacing w:after="0" w:line="5" w:lineRule="exact"/>
        <w:rPr>
          <w:sz w:val="20"/>
          <w:szCs w:val="20"/>
          <w:color w:val="auto"/>
        </w:rPr>
      </w:pPr>
    </w:p>
    <w:p>
      <w:pPr>
        <w:ind w:left="320" w:hanging="312"/>
        <w:spacing w:after="0"/>
        <w:tabs>
          <w:tab w:leader="none" w:pos="3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Earnings per Share ("EPS") calculation is based on the average number of shares outstanding during each period.</w:t>
      </w:r>
    </w:p>
    <w:p>
      <w:pPr>
        <w:ind w:left="320" w:hanging="312"/>
        <w:spacing w:after="0" w:line="234" w:lineRule="auto"/>
        <w:tabs>
          <w:tab w:leader="none" w:pos="3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ROAE refers to return on average stockholders' equity which is calculated on the basis of unaudited daily average balances.</w:t>
      </w:r>
    </w:p>
    <w:p>
      <w:pPr>
        <w:ind w:left="320" w:hanging="312"/>
        <w:spacing w:after="0"/>
        <w:tabs>
          <w:tab w:leader="none" w:pos="3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NIM refers to net interest margin which constitutes to Net Interest Income (NII) divided by the average balance of interest-earning assets.</w:t>
      </w:r>
    </w:p>
    <w:p>
      <w:pPr>
        <w:spacing w:after="0" w:line="7" w:lineRule="exact"/>
        <w:rPr>
          <w:rFonts w:ascii="Times New Roman" w:cs="Times New Roman" w:eastAsia="Times New Roman" w:hAnsi="Times New Roman"/>
          <w:sz w:val="18"/>
          <w:szCs w:val="18"/>
          <w:color w:val="auto"/>
        </w:rPr>
      </w:pPr>
    </w:p>
    <w:p>
      <w:pPr>
        <w:ind w:left="340" w:right="260" w:hanging="332"/>
        <w:spacing w:after="0" w:line="235" w:lineRule="auto"/>
        <w:tabs>
          <w:tab w:leader="none" w:pos="334"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NIS refers to net interest spread which constitutes the average yield earned on interest-earning assets, less the average yield paid on interest-bearing liabilities.</w:t>
      </w:r>
    </w:p>
    <w:p>
      <w:pPr>
        <w:spacing w:after="0" w:line="1" w:lineRule="exact"/>
        <w:rPr>
          <w:rFonts w:ascii="Times New Roman" w:cs="Times New Roman" w:eastAsia="Times New Roman" w:hAnsi="Times New Roman"/>
          <w:sz w:val="18"/>
          <w:szCs w:val="18"/>
          <w:color w:val="auto"/>
        </w:rPr>
      </w:pPr>
    </w:p>
    <w:p>
      <w:pPr>
        <w:ind w:left="320" w:hanging="312"/>
        <w:spacing w:after="0"/>
        <w:tabs>
          <w:tab w:leader="none" w:pos="3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Efficiency Ratio refers to consolidated operating expenses as a percentage of total revenues.</w:t>
      </w:r>
    </w:p>
    <w:p>
      <w:pPr>
        <w:spacing w:after="0" w:line="7" w:lineRule="exact"/>
        <w:rPr>
          <w:rFonts w:ascii="Times New Roman" w:cs="Times New Roman" w:eastAsia="Times New Roman" w:hAnsi="Times New Roman"/>
          <w:sz w:val="18"/>
          <w:szCs w:val="18"/>
          <w:color w:val="auto"/>
        </w:rPr>
      </w:pPr>
    </w:p>
    <w:p>
      <w:pPr>
        <w:ind w:left="340" w:right="40" w:hanging="332"/>
        <w:spacing w:after="0"/>
        <w:tabs>
          <w:tab w:leader="none" w:pos="334"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jc w:val="both"/>
        <w:ind w:left="340" w:right="100" w:hanging="332"/>
        <w:spacing w:after="0"/>
        <w:tabs>
          <w:tab w:leader="none" w:pos="334"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ind w:left="320" w:hanging="312"/>
        <w:spacing w:after="0" w:line="236" w:lineRule="auto"/>
        <w:tabs>
          <w:tab w:leader="none" w:pos="3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Market capitalization corresponds to total outstanding common shares multiplied by market close price at the end of each corresponding period.</w:t>
      </w:r>
    </w:p>
    <w:p>
      <w:pPr>
        <w:ind w:left="340" w:right="40" w:hanging="332"/>
        <w:spacing w:after="0"/>
        <w:tabs>
          <w:tab w:leader="none" w:pos="334"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ind w:left="340" w:hanging="332"/>
        <w:spacing w:after="0"/>
        <w:tabs>
          <w:tab w:leader="none" w:pos="329"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ind w:left="340" w:right="100" w:hanging="332"/>
        <w:spacing w:after="0" w:line="239" w:lineRule="auto"/>
        <w:tabs>
          <w:tab w:leader="none" w:pos="322"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ind w:left="340" w:right="180" w:hanging="332"/>
        <w:spacing w:after="0" w:line="235" w:lineRule="auto"/>
        <w:tabs>
          <w:tab w:leader="none" w:pos="329"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 w:lineRule="exact"/>
        <w:rPr>
          <w:rFonts w:ascii="Times New Roman" w:cs="Times New Roman" w:eastAsia="Times New Roman" w:hAnsi="Times New Roman"/>
          <w:sz w:val="18"/>
          <w:szCs w:val="18"/>
          <w:color w:val="auto"/>
        </w:rPr>
      </w:pPr>
    </w:p>
    <w:p>
      <w:pPr>
        <w:ind w:left="340" w:right="640" w:hanging="332"/>
        <w:spacing w:after="0" w:line="258" w:lineRule="auto"/>
        <w:tabs>
          <w:tab w:leader="none" w:pos="329"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Total allowance for losses refers to allowance for loan losses plus allowance for loan commitments and financial guarantee contract losses and allowance for investment securities losses.</w:t>
      </w:r>
    </w:p>
    <w:p>
      <w:pPr>
        <w:spacing w:after="0" w:line="200" w:lineRule="exact"/>
        <w:rPr>
          <w:sz w:val="20"/>
          <w:szCs w:val="20"/>
          <w:color w:val="auto"/>
        </w:rPr>
      </w:pPr>
    </w:p>
    <w:p>
      <w:pPr>
        <w:spacing w:after="0" w:line="239"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1440" w:right="359"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SAFE HARBOR STATEMENT</w:t>
      </w:r>
    </w:p>
    <w:p>
      <w:pPr>
        <w:spacing w:after="0" w:line="20" w:lineRule="exact"/>
        <w:rPr>
          <w:sz w:val="20"/>
          <w:szCs w:val="20"/>
          <w:color w:val="auto"/>
        </w:rPr>
      </w:pPr>
    </w:p>
    <w:p>
      <w:pPr>
        <w:jc w:val="both"/>
        <w:spacing w:after="0"/>
        <w:rPr>
          <w:sz w:val="20"/>
          <w:szCs w:val="20"/>
          <w:color w:val="auto"/>
        </w:rPr>
      </w:pPr>
      <w:r>
        <w:rPr>
          <w:rFonts w:ascii="Times New Roman" w:cs="Times New Roman" w:eastAsia="Times New Roman" w:hAnsi="Times New Roman"/>
          <w:sz w:val="18"/>
          <w:szCs w:val="18"/>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2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ABOUT BLADEX</w:t>
      </w:r>
    </w:p>
    <w:p>
      <w:pPr>
        <w:spacing w:after="0" w:line="20" w:lineRule="exact"/>
        <w:rPr>
          <w:sz w:val="20"/>
          <w:szCs w:val="20"/>
          <w:color w:val="auto"/>
        </w:rPr>
      </w:pPr>
    </w:p>
    <w:p>
      <w:pPr>
        <w:jc w:val="both"/>
        <w:ind w:right="20"/>
        <w:spacing w:after="0" w:line="238"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2" w:lineRule="exact"/>
        <w:rPr>
          <w:sz w:val="20"/>
          <w:szCs w:val="20"/>
          <w:color w:val="auto"/>
        </w:rPr>
      </w:pPr>
    </w:p>
    <w:p>
      <w:pPr>
        <w:jc w:val="both"/>
        <w:spacing w:after="0"/>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rPr>
          <w:sz w:val="20"/>
          <w:szCs w:val="20"/>
          <w:color w:val="auto"/>
        </w:rPr>
      </w:pPr>
      <w:r>
        <w:rPr>
          <w:rFonts w:ascii="Times New Roman" w:cs="Times New Roman" w:eastAsia="Times New Roman" w:hAnsi="Times New Roman"/>
          <w:sz w:val="18"/>
          <w:szCs w:val="18"/>
          <w:b w:val="1"/>
          <w:bCs w:val="1"/>
          <w:color w:val="auto"/>
        </w:rPr>
        <w:t>CONFERENCE CALL INFORMATION</w:t>
      </w:r>
    </w:p>
    <w:p>
      <w:pPr>
        <w:spacing w:after="0" w:line="7"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8"/>
          <w:szCs w:val="18"/>
          <w:color w:val="auto"/>
        </w:rPr>
        <w:t xml:space="preserve">There will be a conference call to discuss the Bank’s quarterly results on Wednesday, May 4, 2022 at 11:00 a.m. New York City time (Eastern Time). For those interested in participating, please dial (800) 420-1271 in the United States or, if outside the United States, (785) 424-1205. Participants should use conference passcode 47922, and dial in five minutes before the call is set to begin. There will also be a live audio webcast of the conference at </w:t>
      </w:r>
      <w:r>
        <w:rPr>
          <w:rFonts w:ascii="Times New Roman" w:cs="Times New Roman" w:eastAsia="Times New Roman" w:hAnsi="Times New Roman"/>
          <w:sz w:val="18"/>
          <w:szCs w:val="18"/>
          <w:color w:val="0000FF"/>
        </w:rPr>
        <w:t>http://www.bladex.com</w:t>
      </w:r>
      <w:r>
        <w:rPr>
          <w:rFonts w:ascii="Times New Roman" w:cs="Times New Roman" w:eastAsia="Times New Roman" w:hAnsi="Times New Roman"/>
          <w:sz w:val="18"/>
          <w:szCs w:val="18"/>
          <w:color w:val="000000"/>
        </w:rPr>
        <w:t>. The webcast presentation will be available for viewing and downloads on</w:t>
      </w:r>
      <w:r>
        <w:rPr>
          <w:rFonts w:ascii="Times New Roman" w:cs="Times New Roman" w:eastAsia="Times New Roman" w:hAnsi="Times New Roman"/>
          <w:sz w:val="18"/>
          <w:szCs w:val="18"/>
          <w:color w:val="0000FF"/>
        </w:rPr>
        <w:t xml:space="preserve"> http://www.bladex.com</w:t>
      </w:r>
      <w:r>
        <w:rPr>
          <w:rFonts w:ascii="Times New Roman" w:cs="Times New Roman" w:eastAsia="Times New Roman" w:hAnsi="Times New Roman"/>
          <w:sz w:val="18"/>
          <w:szCs w:val="18"/>
          <w:color w:val="000000"/>
        </w:rPr>
        <w:t>.</w:t>
      </w:r>
    </w:p>
    <w:p>
      <w:pPr>
        <w:spacing w:after="0" w:line="21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conference call will become available for review on Conference Replay one hour after its conclusion and will remain available for 30 days. Please dial</w:t>
      </w:r>
    </w:p>
    <w:p>
      <w:pPr>
        <w:spacing w:after="0" w:line="16" w:lineRule="exact"/>
        <w:rPr>
          <w:sz w:val="20"/>
          <w:szCs w:val="20"/>
          <w:color w:val="auto"/>
        </w:rPr>
      </w:pPr>
    </w:p>
    <w:p>
      <w:pPr>
        <w:ind w:right="5820" w:firstLine="8"/>
        <w:spacing w:after="0"/>
        <w:tabs>
          <w:tab w:leader="none" w:pos="435"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219-1264 and follow the instructions. The replay passcode is: 47922. For more information, please access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 xml:space="preserve"> or contact: Mrs. Ana Graciela de Méndez</w:t>
      </w:r>
    </w:p>
    <w:p>
      <w:pPr>
        <w:ind w:right="9560"/>
        <w:spacing w:after="0" w:line="255" w:lineRule="auto"/>
        <w:rPr>
          <w:rFonts w:ascii="Times New Roman" w:cs="Times New Roman" w:eastAsia="Times New Roman" w:hAnsi="Times New Roman"/>
          <w:sz w:val="18"/>
          <w:szCs w:val="18"/>
          <w:color w:val="auto"/>
        </w:rPr>
      </w:pPr>
      <w:r>
        <w:rPr>
          <w:rFonts w:ascii="Times New Roman" w:cs="Times New Roman" w:eastAsia="Times New Roman" w:hAnsi="Times New Roman"/>
          <w:sz w:val="17"/>
          <w:szCs w:val="17"/>
          <w:color w:val="auto"/>
        </w:rPr>
        <w:t>Chief Financial Officer Tel: +507 210-8563</w:t>
      </w:r>
    </w:p>
    <w:p>
      <w:pPr>
        <w:spacing w:after="0" w:line="1"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E-mail address: </w:t>
      </w:r>
      <w:r>
        <w:rPr>
          <w:rFonts w:ascii="Times New Roman" w:cs="Times New Roman" w:eastAsia="Times New Roman" w:hAnsi="Times New Roman"/>
          <w:sz w:val="18"/>
          <w:szCs w:val="18"/>
          <w:u w:val="single" w:color="auto"/>
          <w:color w:val="auto"/>
        </w:rPr>
        <w:t>amendez@bladex.com</w:t>
      </w:r>
    </w:p>
    <w:p>
      <w:pPr>
        <w:spacing w:after="0" w:line="200" w:lineRule="exact"/>
        <w:rPr>
          <w:sz w:val="20"/>
          <w:szCs w:val="20"/>
          <w:color w:val="auto"/>
        </w:rPr>
      </w:pPr>
    </w:p>
    <w:p>
      <w:pPr>
        <w:spacing w:after="0" w:line="263"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3" w:name="page14"/>
    <w:bookmarkEnd w:id="1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tbl>
      <w:tblPr>
        <w:tblLayout w:type="fixed"/>
        <w:tblInd w:w="0" w:type="dxa"/>
        <w:tblCellMar>
          <w:top w:w="0" w:type="dxa"/>
          <w:left w:w="0" w:type="dxa"/>
          <w:bottom w:w="0" w:type="dxa"/>
          <w:right w:w="0" w:type="dxa"/>
        </w:tblCellMar>
      </w:tblPr>
      <w:tr>
        <w:trPr>
          <w:trHeight w:val="282"/>
        </w:trPr>
        <w:tc>
          <w:tcPr>
            <w:tcW w:w="3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960" w:type="dxa"/>
            <w:vAlign w:val="bottom"/>
            <w:gridSpan w:val="12"/>
            <w:vMerge w:val="restart"/>
          </w:tcPr>
          <w:p>
            <w:pPr>
              <w:ind w:left="60"/>
              <w:spacing w:after="0"/>
              <w:rPr>
                <w:sz w:val="20"/>
                <w:szCs w:val="20"/>
                <w:color w:val="auto"/>
              </w:rPr>
            </w:pPr>
            <w:r>
              <w:rPr>
                <w:rFonts w:ascii="Times New Roman" w:cs="Times New Roman" w:eastAsia="Times New Roman" w:hAnsi="Times New Roman"/>
                <w:sz w:val="18"/>
                <w:szCs w:val="18"/>
                <w:color w:val="auto"/>
              </w:rPr>
              <w:t>CONSOLIDATED STATEMENTS OF FINANCIAL POSITION</w:t>
            </w: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80" w:type="dxa"/>
            <w:vAlign w:val="bottom"/>
            <w:gridSpan w:val="2"/>
          </w:tcPr>
          <w:p>
            <w:pPr>
              <w:jc w:val="right"/>
              <w:spacing w:after="0"/>
              <w:rPr>
                <w:sz w:val="20"/>
                <w:szCs w:val="20"/>
                <w:color w:val="auto"/>
              </w:rPr>
            </w:pPr>
            <w:r>
              <w:rPr>
                <w:rFonts w:ascii="Times New Roman" w:cs="Times New Roman" w:eastAsia="Times New Roman" w:hAnsi="Times New Roman"/>
                <w:sz w:val="22"/>
                <w:szCs w:val="22"/>
                <w:color w:val="auto"/>
              </w:rPr>
              <w:t>EXHIBIT I</w:t>
            </w:r>
          </w:p>
        </w:tc>
        <w:tc>
          <w:tcPr>
            <w:tcW w:w="0" w:type="dxa"/>
            <w:vAlign w:val="bottom"/>
          </w:tcPr>
          <w:p>
            <w:pPr>
              <w:spacing w:after="0"/>
              <w:rPr>
                <w:sz w:val="1"/>
                <w:szCs w:val="1"/>
                <w:color w:val="auto"/>
              </w:rPr>
            </w:pPr>
          </w:p>
        </w:tc>
      </w:tr>
      <w:tr>
        <w:trPr>
          <w:trHeight w:val="231"/>
        </w:trPr>
        <w:tc>
          <w:tcPr>
            <w:tcW w:w="3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960" w:type="dxa"/>
            <w:vAlign w:val="bottom"/>
            <w:gridSpan w:val="12"/>
            <w:vMerge w:val="continue"/>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3"/>
        </w:trPr>
        <w:tc>
          <w:tcPr>
            <w:tcW w:w="3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gridSpan w:val="3"/>
          </w:tcPr>
          <w:p>
            <w:pPr>
              <w:jc w:val="center"/>
              <w:ind w:right="100"/>
              <w:spacing w:after="0"/>
              <w:rPr>
                <w:sz w:val="20"/>
                <w:szCs w:val="20"/>
                <w:color w:val="auto"/>
              </w:rPr>
            </w:pPr>
            <w:r>
              <w:rPr>
                <w:rFonts w:ascii="Times New Roman" w:cs="Times New Roman" w:eastAsia="Times New Roman" w:hAnsi="Times New Roman"/>
                <w:sz w:val="13"/>
                <w:szCs w:val="13"/>
                <w:color w:val="auto"/>
                <w:w w:val="94"/>
              </w:rPr>
              <w:t>AT THE END OF,</w:t>
            </w: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gridSpan w:val="2"/>
          </w:tcPr>
          <w:p>
            <w:pPr>
              <w:spacing w:after="0"/>
              <w:rPr>
                <w:sz w:val="2"/>
                <w:szCs w:val="2"/>
                <w:color w:val="auto"/>
              </w:rPr>
            </w:pPr>
          </w:p>
        </w:tc>
        <w:tc>
          <w:tcPr>
            <w:tcW w:w="1200" w:type="dxa"/>
            <w:vAlign w:val="bottom"/>
            <w:tcBorders>
              <w:bottom w:val="single" w:sz="8" w:color="auto"/>
            </w:tcBorders>
            <w:gridSpan w:val="3"/>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1240" w:type="dxa"/>
            <w:vAlign w:val="bottom"/>
            <w:gridSpan w:val="3"/>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67"/>
        </w:trPr>
        <w:tc>
          <w:tcPr>
            <w:tcW w:w="3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gridSpan w:val="2"/>
          </w:tcPr>
          <w:p>
            <w:pPr>
              <w:ind w:left="360"/>
              <w:spacing w:after="0"/>
              <w:rPr>
                <w:sz w:val="20"/>
                <w:szCs w:val="20"/>
                <w:color w:val="auto"/>
              </w:rPr>
            </w:pPr>
            <w:r>
              <w:rPr>
                <w:rFonts w:ascii="Times New Roman" w:cs="Times New Roman" w:eastAsia="Times New Roman" w:hAnsi="Times New Roman"/>
                <w:sz w:val="13"/>
                <w:szCs w:val="13"/>
                <w:color w:val="auto"/>
              </w:rPr>
              <w:t>(A)</w:t>
            </w:r>
          </w:p>
        </w:tc>
        <w:tc>
          <w:tcPr>
            <w:tcW w:w="1200" w:type="dxa"/>
            <w:vAlign w:val="bottom"/>
            <w:gridSpan w:val="3"/>
          </w:tcPr>
          <w:p>
            <w:pPr>
              <w:jc w:val="center"/>
              <w:ind w:right="80"/>
              <w:spacing w:after="0"/>
              <w:rPr>
                <w:sz w:val="20"/>
                <w:szCs w:val="20"/>
                <w:color w:val="auto"/>
              </w:rPr>
            </w:pPr>
            <w:r>
              <w:rPr>
                <w:rFonts w:ascii="Times New Roman" w:cs="Times New Roman" w:eastAsia="Times New Roman" w:hAnsi="Times New Roman"/>
                <w:sz w:val="13"/>
                <w:szCs w:val="13"/>
                <w:color w:val="auto"/>
                <w:w w:val="92"/>
              </w:rPr>
              <w:t>(B)</w:t>
            </w:r>
          </w:p>
        </w:tc>
        <w:tc>
          <w:tcPr>
            <w:tcW w:w="120" w:type="dxa"/>
            <w:vAlign w:val="bottom"/>
          </w:tcPr>
          <w:p>
            <w:pPr>
              <w:spacing w:after="0"/>
              <w:rPr>
                <w:sz w:val="14"/>
                <w:szCs w:val="14"/>
                <w:color w:val="auto"/>
              </w:rPr>
            </w:pP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color w:val="auto"/>
              </w:rPr>
              <w:t>(C)</w:t>
            </w:r>
          </w:p>
        </w:tc>
        <w:tc>
          <w:tcPr>
            <w:tcW w:w="200" w:type="dxa"/>
            <w:vAlign w:val="bottom"/>
          </w:tcPr>
          <w:p>
            <w:pPr>
              <w:spacing w:after="0"/>
              <w:rPr>
                <w:sz w:val="14"/>
                <w:szCs w:val="14"/>
                <w:color w:val="auto"/>
              </w:rPr>
            </w:pPr>
          </w:p>
        </w:tc>
        <w:tc>
          <w:tcPr>
            <w:tcW w:w="1240" w:type="dxa"/>
            <w:vAlign w:val="bottom"/>
            <w:gridSpan w:val="3"/>
          </w:tcPr>
          <w:p>
            <w:pPr>
              <w:jc w:val="center"/>
              <w:ind w:right="520"/>
              <w:spacing w:after="0"/>
              <w:rPr>
                <w:sz w:val="20"/>
                <w:szCs w:val="20"/>
                <w:color w:val="auto"/>
              </w:rPr>
            </w:pPr>
            <w:r>
              <w:rPr>
                <w:rFonts w:ascii="Times New Roman" w:cs="Times New Roman" w:eastAsia="Times New Roman" w:hAnsi="Times New Roman"/>
                <w:sz w:val="13"/>
                <w:szCs w:val="13"/>
                <w:color w:val="auto"/>
                <w:w w:val="95"/>
              </w:rPr>
              <w:t>(A) - (B)</w:t>
            </w: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tcPr>
          <w:p>
            <w:pPr>
              <w:jc w:val="right"/>
              <w:ind w:right="277"/>
              <w:spacing w:after="0"/>
              <w:rPr>
                <w:sz w:val="20"/>
                <w:szCs w:val="20"/>
                <w:color w:val="auto"/>
              </w:rPr>
            </w:pPr>
            <w:r>
              <w:rPr>
                <w:rFonts w:ascii="Times New Roman" w:cs="Times New Roman" w:eastAsia="Times New Roman" w:hAnsi="Times New Roman"/>
                <w:sz w:val="13"/>
                <w:szCs w:val="13"/>
                <w:color w:val="auto"/>
              </w:rPr>
              <w:t>(A) - (C)</w:t>
            </w: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gridSpan w:val="2"/>
          </w:tcPr>
          <w:p>
            <w:pPr>
              <w:ind w:left="40"/>
              <w:spacing w:after="0"/>
              <w:rPr>
                <w:sz w:val="20"/>
                <w:szCs w:val="20"/>
                <w:color w:val="auto"/>
              </w:rPr>
            </w:pPr>
            <w:r>
              <w:rPr>
                <w:rFonts w:ascii="Times New Roman" w:cs="Times New Roman" w:eastAsia="Times New Roman" w:hAnsi="Times New Roman"/>
                <w:sz w:val="13"/>
                <w:szCs w:val="13"/>
                <w:color w:val="auto"/>
              </w:rPr>
              <w:t>March 31, 2022</w:t>
            </w:r>
          </w:p>
        </w:tc>
        <w:tc>
          <w:tcPr>
            <w:tcW w:w="1200" w:type="dxa"/>
            <w:vAlign w:val="bottom"/>
            <w:gridSpan w:val="3"/>
          </w:tcPr>
          <w:p>
            <w:pPr>
              <w:jc w:val="center"/>
              <w:ind w:right="100"/>
              <w:spacing w:after="0"/>
              <w:rPr>
                <w:sz w:val="20"/>
                <w:szCs w:val="20"/>
                <w:color w:val="auto"/>
              </w:rPr>
            </w:pPr>
            <w:r>
              <w:rPr>
                <w:rFonts w:ascii="Times New Roman" w:cs="Times New Roman" w:eastAsia="Times New Roman" w:hAnsi="Times New Roman"/>
                <w:sz w:val="13"/>
                <w:szCs w:val="13"/>
                <w:color w:val="auto"/>
                <w:w w:val="95"/>
              </w:rPr>
              <w:t>December 31, 2021</w:t>
            </w:r>
          </w:p>
        </w:tc>
        <w:tc>
          <w:tcPr>
            <w:tcW w:w="120" w:type="dxa"/>
            <w:vAlign w:val="bottom"/>
          </w:tcPr>
          <w:p>
            <w:pPr>
              <w:spacing w:after="0"/>
              <w:rPr>
                <w:sz w:val="17"/>
                <w:szCs w:val="17"/>
                <w:color w:val="auto"/>
              </w:rPr>
            </w:pP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color w:val="auto"/>
                <w:w w:val="99"/>
              </w:rPr>
              <w:t>March 31, 2021</w:t>
            </w:r>
          </w:p>
        </w:tc>
        <w:tc>
          <w:tcPr>
            <w:tcW w:w="200" w:type="dxa"/>
            <w:vAlign w:val="bottom"/>
          </w:tcPr>
          <w:p>
            <w:pPr>
              <w:spacing w:after="0"/>
              <w:rPr>
                <w:sz w:val="17"/>
                <w:szCs w:val="17"/>
                <w:color w:val="auto"/>
              </w:rPr>
            </w:pPr>
          </w:p>
        </w:tc>
        <w:tc>
          <w:tcPr>
            <w:tcW w:w="1240" w:type="dxa"/>
            <w:vAlign w:val="bottom"/>
            <w:gridSpan w:val="3"/>
          </w:tcPr>
          <w:p>
            <w:pPr>
              <w:jc w:val="center"/>
              <w:ind w:right="520"/>
              <w:spacing w:after="0"/>
              <w:rPr>
                <w:sz w:val="20"/>
                <w:szCs w:val="20"/>
                <w:color w:val="auto"/>
              </w:rPr>
            </w:pPr>
            <w:r>
              <w:rPr>
                <w:rFonts w:ascii="Times New Roman" w:cs="Times New Roman" w:eastAsia="Times New Roman" w:hAnsi="Times New Roman"/>
                <w:sz w:val="13"/>
                <w:szCs w:val="13"/>
                <w:color w:val="auto"/>
                <w:w w:val="95"/>
              </w:rPr>
              <w:t>CHANGE</w:t>
            </w:r>
          </w:p>
        </w:tc>
        <w:tc>
          <w:tcPr>
            <w:tcW w:w="760" w:type="dxa"/>
            <w:vAlign w:val="bottom"/>
          </w:tcPr>
          <w:p>
            <w:pPr>
              <w:jc w:val="right"/>
              <w:ind w:right="377"/>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jc w:val="right"/>
              <w:ind w:right="237"/>
              <w:spacing w:after="0"/>
              <w:rPr>
                <w:sz w:val="20"/>
                <w:szCs w:val="20"/>
                <w:color w:val="auto"/>
              </w:rPr>
            </w:pPr>
            <w:r>
              <w:rPr>
                <w:rFonts w:ascii="Times New Roman" w:cs="Times New Roman" w:eastAsia="Times New Roman" w:hAnsi="Times New Roman"/>
                <w:sz w:val="13"/>
                <w:szCs w:val="13"/>
                <w:color w:val="auto"/>
              </w:rPr>
              <w:t>CHANGE</w:t>
            </w:r>
          </w:p>
        </w:tc>
        <w:tc>
          <w:tcPr>
            <w:tcW w:w="108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69"/>
        </w:trPr>
        <w:tc>
          <w:tcPr>
            <w:tcW w:w="3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(In US$</w:t>
            </w:r>
          </w:p>
        </w:tc>
        <w:tc>
          <w:tcPr>
            <w:tcW w:w="700" w:type="dxa"/>
            <w:vAlign w:val="bottom"/>
            <w:gridSpan w:val="2"/>
          </w:tcPr>
          <w:p>
            <w:pPr>
              <w:ind w:left="20"/>
              <w:spacing w:after="0"/>
              <w:rPr>
                <w:sz w:val="20"/>
                <w:szCs w:val="20"/>
                <w:color w:val="auto"/>
              </w:rPr>
            </w:pPr>
            <w:r>
              <w:rPr>
                <w:rFonts w:ascii="Times New Roman" w:cs="Times New Roman" w:eastAsia="Times New Roman" w:hAnsi="Times New Roman"/>
                <w:sz w:val="13"/>
                <w:szCs w:val="13"/>
                <w:color w:val="auto"/>
              </w:rPr>
              <w:t>thousand)</w:t>
            </w:r>
          </w:p>
        </w:tc>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Assets</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spacing w:after="0"/>
              <w:rPr>
                <w:sz w:val="15"/>
                <w:szCs w:val="15"/>
                <w:color w:val="auto"/>
              </w:rPr>
            </w:pPr>
          </w:p>
        </w:tc>
        <w:tc>
          <w:tcPr>
            <w:tcW w:w="62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98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Cash and due from banks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653,789</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1,253,052</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819,514</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(599,263)</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(48)%</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(165,725)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(20)%</w:t>
            </w: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Securities and other financial assets, net</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1,099,189</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831,913</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391,401</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267,276</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707,788</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181</w:t>
            </w: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Loans, net</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6,449,282</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5,713,022</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5,042,467</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736,260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1,406,815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28</w:t>
            </w: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Customers' liabilities under acceptances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193,119</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201,515</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78,164</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(8,396)</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114,955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147</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Derivative financial instruments - assets</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34,725</w:t>
            </w:r>
          </w:p>
        </w:tc>
        <w:tc>
          <w:tcPr>
            <w:tcW w:w="100" w:type="dxa"/>
            <w:vAlign w:val="bottom"/>
          </w:tcPr>
          <w:p>
            <w:pPr>
              <w:spacing w:after="0"/>
              <w:rPr>
                <w:sz w:val="15"/>
                <w:szCs w:val="15"/>
                <w:color w:val="auto"/>
              </w:rPr>
            </w:pPr>
          </w:p>
        </w:tc>
        <w:tc>
          <w:tcPr>
            <w:tcW w:w="500" w:type="dxa"/>
            <w:vAlign w:val="bottom"/>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10,805</w:t>
            </w:r>
          </w:p>
        </w:tc>
        <w:tc>
          <w:tcPr>
            <w:tcW w:w="80" w:type="dxa"/>
            <w:vAlign w:val="bottom"/>
          </w:tcPr>
          <w:p>
            <w:pPr>
              <w:spacing w:after="0"/>
              <w:rPr>
                <w:sz w:val="15"/>
                <w:szCs w:val="15"/>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16,340</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23,920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221</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18,385</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113</w:t>
            </w: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Equipment and leasehold improvements, net</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17,329</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17,779</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15,361</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(450)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1,968</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13</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Intangibles, net</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1,690</w:t>
            </w:r>
          </w:p>
        </w:tc>
        <w:tc>
          <w:tcPr>
            <w:tcW w:w="100" w:type="dxa"/>
            <w:vAlign w:val="bottom"/>
          </w:tcPr>
          <w:p>
            <w:pPr>
              <w:spacing w:after="0"/>
              <w:rPr>
                <w:sz w:val="15"/>
                <w:szCs w:val="15"/>
                <w:color w:val="auto"/>
              </w:rPr>
            </w:pPr>
          </w:p>
        </w:tc>
        <w:tc>
          <w:tcPr>
            <w:tcW w:w="500" w:type="dxa"/>
            <w:vAlign w:val="bottom"/>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1,595</w:t>
            </w:r>
          </w:p>
        </w:tc>
        <w:tc>
          <w:tcPr>
            <w:tcW w:w="80" w:type="dxa"/>
            <w:vAlign w:val="bottom"/>
          </w:tcPr>
          <w:p>
            <w:pPr>
              <w:spacing w:after="0"/>
              <w:rPr>
                <w:sz w:val="15"/>
                <w:szCs w:val="15"/>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1,712</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w:t>
            </w:r>
          </w:p>
        </w:tc>
        <w:tc>
          <w:tcPr>
            <w:tcW w:w="0" w:type="dxa"/>
            <w:vAlign w:val="bottom"/>
          </w:tcPr>
          <w:p>
            <w:pPr>
              <w:spacing w:after="0"/>
              <w:rPr>
                <w:sz w:val="1"/>
                <w:szCs w:val="1"/>
                <w:color w:val="auto"/>
              </w:rPr>
            </w:pPr>
          </w:p>
        </w:tc>
      </w:tr>
      <w:tr>
        <w:trPr>
          <w:trHeight w:val="29"/>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Investment properties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3,145</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860" w:type="dxa"/>
            <w:vAlign w:val="bottom"/>
            <w:tcBorders>
              <w:bottom w:val="single" w:sz="8" w:color="CCEEFF"/>
            </w:tcBorders>
            <w:gridSpan w:val="2"/>
            <w:shd w:val="clear" w:color="auto" w:fill="CCEEFF"/>
          </w:tcPr>
          <w:p>
            <w:pPr>
              <w:ind w:left="520"/>
              <w:spacing w:after="0"/>
              <w:rPr>
                <w:sz w:val="20"/>
                <w:szCs w:val="20"/>
                <w:color w:val="auto"/>
              </w:rPr>
            </w:pPr>
            <w:r>
              <w:rPr>
                <w:rFonts w:ascii="Times New Roman" w:cs="Times New Roman" w:eastAsia="Times New Roman" w:hAnsi="Times New Roman"/>
                <w:sz w:val="13"/>
                <w:szCs w:val="13"/>
                <w:color w:val="auto"/>
              </w:rPr>
              <w:t>n.m.</w:t>
            </w: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(3,145)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(100)</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Other assets</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9,260</w:t>
            </w:r>
          </w:p>
        </w:tc>
        <w:tc>
          <w:tcPr>
            <w:tcW w:w="100" w:type="dxa"/>
            <w:vAlign w:val="bottom"/>
          </w:tcPr>
          <w:p>
            <w:pPr>
              <w:spacing w:after="0"/>
              <w:rPr>
                <w:sz w:val="15"/>
                <w:szCs w:val="15"/>
                <w:color w:val="auto"/>
              </w:rPr>
            </w:pPr>
          </w:p>
        </w:tc>
        <w:tc>
          <w:tcPr>
            <w:tcW w:w="500" w:type="dxa"/>
            <w:vAlign w:val="bottom"/>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8,430</w:t>
            </w:r>
          </w:p>
        </w:tc>
        <w:tc>
          <w:tcPr>
            <w:tcW w:w="80" w:type="dxa"/>
            <w:vAlign w:val="bottom"/>
          </w:tcPr>
          <w:p>
            <w:pPr>
              <w:spacing w:after="0"/>
              <w:rPr>
                <w:sz w:val="15"/>
                <w:szCs w:val="15"/>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6,742</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2,518</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37</w:t>
            </w:r>
          </w:p>
        </w:tc>
        <w:tc>
          <w:tcPr>
            <w:tcW w:w="0" w:type="dxa"/>
            <w:vAlign w:val="bottom"/>
          </w:tcPr>
          <w:p>
            <w:pPr>
              <w:spacing w:after="0"/>
              <w:rPr>
                <w:sz w:val="1"/>
                <w:szCs w:val="1"/>
                <w:color w:val="auto"/>
              </w:rPr>
            </w:pPr>
          </w:p>
        </w:tc>
      </w:tr>
      <w:tr>
        <w:trPr>
          <w:trHeight w:val="30"/>
        </w:trPr>
        <w:tc>
          <w:tcPr>
            <w:tcW w:w="3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2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8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196"/>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1"/>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b w:val="1"/>
                <w:bCs w:val="1"/>
                <w:color w:val="auto"/>
              </w:rPr>
              <w:t>Total assets</w:t>
            </w: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8,458,383</w:t>
            </w:r>
          </w:p>
        </w:tc>
        <w:tc>
          <w:tcPr>
            <w:tcW w:w="100" w:type="dxa"/>
            <w:vAlign w:val="bottom"/>
          </w:tcPr>
          <w:p>
            <w:pPr>
              <w:spacing w:after="0"/>
              <w:rPr>
                <w:sz w:val="17"/>
                <w:szCs w:val="17"/>
                <w:color w:val="auto"/>
              </w:rPr>
            </w:pPr>
          </w:p>
        </w:tc>
        <w:tc>
          <w:tcPr>
            <w:tcW w:w="500" w:type="dxa"/>
            <w:vAlign w:val="bottom"/>
            <w:tcBorders>
              <w:bottom w:val="single" w:sz="8" w:color="auto"/>
            </w:tcBorders>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8,038,111</w:t>
            </w:r>
          </w:p>
        </w:tc>
        <w:tc>
          <w:tcPr>
            <w:tcW w:w="80" w:type="dxa"/>
            <w:vAlign w:val="bottom"/>
          </w:tcPr>
          <w:p>
            <w:pPr>
              <w:spacing w:after="0"/>
              <w:rPr>
                <w:sz w:val="17"/>
                <w:szCs w:val="17"/>
                <w:color w:val="auto"/>
              </w:rPr>
            </w:pP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6,374,846</w:t>
            </w:r>
          </w:p>
        </w:tc>
        <w:tc>
          <w:tcPr>
            <w:tcW w:w="100" w:type="dxa"/>
            <w:vAlign w:val="bottom"/>
          </w:tcPr>
          <w:p>
            <w:pPr>
              <w:spacing w:after="0"/>
              <w:rPr>
                <w:sz w:val="17"/>
                <w:szCs w:val="17"/>
                <w:color w:val="auto"/>
              </w:rPr>
            </w:pPr>
          </w:p>
        </w:tc>
        <w:tc>
          <w:tcPr>
            <w:tcW w:w="200" w:type="dxa"/>
            <w:vAlign w:val="bottom"/>
            <w:tcBorders>
              <w:bottom w:val="single" w:sz="8" w:color="auto"/>
            </w:tcBorders>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420,272</w:t>
            </w: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5 %</w:t>
            </w:r>
          </w:p>
        </w:tc>
        <w:tc>
          <w:tcPr>
            <w:tcW w:w="100" w:type="dxa"/>
            <w:vAlign w:val="bottom"/>
          </w:tcPr>
          <w:p>
            <w:pPr>
              <w:spacing w:after="0"/>
              <w:rPr>
                <w:sz w:val="17"/>
                <w:szCs w:val="17"/>
                <w:color w:val="auto"/>
              </w:rPr>
            </w:pPr>
          </w:p>
        </w:tc>
        <w:tc>
          <w:tcPr>
            <w:tcW w:w="180" w:type="dxa"/>
            <w:vAlign w:val="bottom"/>
            <w:tcBorders>
              <w:bottom w:val="single" w:sz="8" w:color="auto"/>
            </w:tcBorders>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2,083,537</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33 %</w:t>
            </w:r>
          </w:p>
        </w:tc>
        <w:tc>
          <w:tcPr>
            <w:tcW w:w="0" w:type="dxa"/>
            <w:vAlign w:val="bottom"/>
          </w:tcPr>
          <w:p>
            <w:pPr>
              <w:spacing w:after="0"/>
              <w:rPr>
                <w:sz w:val="1"/>
                <w:szCs w:val="1"/>
                <w:color w:val="auto"/>
              </w:rPr>
            </w:pPr>
          </w:p>
        </w:tc>
      </w:tr>
      <w:tr>
        <w:trPr>
          <w:trHeight w:val="20"/>
        </w:trPr>
        <w:tc>
          <w:tcPr>
            <w:tcW w:w="310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20" w:type="dxa"/>
            <w:vAlign w:val="bottom"/>
            <w:tcBorders>
              <w:bottom w:val="single" w:sz="8" w:color="CCEEFF"/>
            </w:tcBorders>
          </w:tcPr>
          <w:p>
            <w:pPr>
              <w:spacing w:after="0" w:line="20" w:lineRule="exact"/>
              <w:rPr>
                <w:sz w:val="1"/>
                <w:szCs w:val="1"/>
                <w:color w:val="auto"/>
              </w:rPr>
            </w:pPr>
          </w:p>
        </w:tc>
        <w:tc>
          <w:tcPr>
            <w:tcW w:w="7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80" w:type="dxa"/>
            <w:vAlign w:val="bottom"/>
            <w:tcBorders>
              <w:bottom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8"/>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b w:val="1"/>
                <w:bCs w:val="1"/>
                <w:color w:val="auto"/>
              </w:rPr>
              <w:t>Liabilities</w:t>
            </w:r>
          </w:p>
        </w:tc>
        <w:tc>
          <w:tcPr>
            <w:tcW w:w="1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Demand deposits</w:t>
            </w: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436,137</w:t>
            </w:r>
          </w:p>
        </w:tc>
        <w:tc>
          <w:tcPr>
            <w:tcW w:w="100" w:type="dxa"/>
            <w:vAlign w:val="bottom"/>
          </w:tcPr>
          <w:p>
            <w:pPr>
              <w:spacing w:after="0"/>
              <w:rPr>
                <w:sz w:val="15"/>
                <w:szCs w:val="15"/>
                <w:color w:val="auto"/>
              </w:rPr>
            </w:pPr>
          </w:p>
        </w:tc>
        <w:tc>
          <w:tcPr>
            <w:tcW w:w="500" w:type="dxa"/>
            <w:vAlign w:val="bottom"/>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362,356</w:t>
            </w:r>
          </w:p>
        </w:tc>
        <w:tc>
          <w:tcPr>
            <w:tcW w:w="80" w:type="dxa"/>
            <w:vAlign w:val="bottom"/>
          </w:tcPr>
          <w:p>
            <w:pPr>
              <w:spacing w:after="0"/>
              <w:rPr>
                <w:sz w:val="15"/>
                <w:szCs w:val="15"/>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355,301</w:t>
            </w:r>
          </w:p>
        </w:tc>
        <w:tc>
          <w:tcPr>
            <w:tcW w:w="100" w:type="dxa"/>
            <w:vAlign w:val="bottom"/>
          </w:tcPr>
          <w:p>
            <w:pPr>
              <w:spacing w:after="0"/>
              <w:rPr>
                <w:sz w:val="15"/>
                <w:szCs w:val="15"/>
                <w:color w:val="auto"/>
              </w:rPr>
            </w:pPr>
          </w:p>
        </w:tc>
        <w:tc>
          <w:tcPr>
            <w:tcW w:w="200" w:type="dxa"/>
            <w:vAlign w:val="bottom"/>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73,781</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20 %</w:t>
            </w:r>
          </w:p>
        </w:tc>
        <w:tc>
          <w:tcPr>
            <w:tcW w:w="100" w:type="dxa"/>
            <w:vAlign w:val="bottom"/>
          </w:tcPr>
          <w:p>
            <w:pPr>
              <w:spacing w:after="0"/>
              <w:rPr>
                <w:sz w:val="15"/>
                <w:szCs w:val="15"/>
                <w:color w:val="auto"/>
              </w:rPr>
            </w:pPr>
          </w:p>
        </w:tc>
        <w:tc>
          <w:tcPr>
            <w:tcW w:w="180" w:type="dxa"/>
            <w:vAlign w:val="bottom"/>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80,836</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23 %</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Time deposits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2,819,731</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2,673,872</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2,830,446</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145,859</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(10,715)</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66"/>
        </w:trPr>
        <w:tc>
          <w:tcPr>
            <w:tcW w:w="3100" w:type="dxa"/>
            <w:vAlign w:val="bottom"/>
          </w:tcPr>
          <w:p>
            <w:pPr>
              <w:spacing w:after="0"/>
              <w:rPr>
                <w:sz w:val="14"/>
                <w:szCs w:val="14"/>
                <w:color w:val="auto"/>
              </w:rPr>
            </w:pPr>
          </w:p>
        </w:tc>
        <w:tc>
          <w:tcPr>
            <w:tcW w:w="1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3,255,868</w:t>
            </w:r>
          </w:p>
        </w:tc>
        <w:tc>
          <w:tcPr>
            <w:tcW w:w="100" w:type="dxa"/>
            <w:vAlign w:val="bottom"/>
          </w:tcPr>
          <w:p>
            <w:pPr>
              <w:spacing w:after="0"/>
              <w:rPr>
                <w:sz w:val="14"/>
                <w:szCs w:val="14"/>
                <w:color w:val="auto"/>
              </w:rPr>
            </w:pPr>
          </w:p>
        </w:tc>
        <w:tc>
          <w:tcPr>
            <w:tcW w:w="500" w:type="dxa"/>
            <w:vAlign w:val="bottom"/>
            <w:tcBorders>
              <w:top w:val="single" w:sz="8" w:color="auto"/>
            </w:tcBorders>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3,036,228</w:t>
            </w:r>
          </w:p>
        </w:tc>
        <w:tc>
          <w:tcPr>
            <w:tcW w:w="80" w:type="dxa"/>
            <w:vAlign w:val="bottom"/>
          </w:tcPr>
          <w:p>
            <w:pPr>
              <w:spacing w:after="0"/>
              <w:rPr>
                <w:sz w:val="14"/>
                <w:szCs w:val="14"/>
                <w:color w:val="auto"/>
              </w:rPr>
            </w:pPr>
          </w:p>
        </w:tc>
        <w:tc>
          <w:tcPr>
            <w:tcW w:w="1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3,185,747</w:t>
            </w:r>
          </w:p>
        </w:tc>
        <w:tc>
          <w:tcPr>
            <w:tcW w:w="100" w:type="dxa"/>
            <w:vAlign w:val="bottom"/>
          </w:tcPr>
          <w:p>
            <w:pPr>
              <w:spacing w:after="0"/>
              <w:rPr>
                <w:sz w:val="14"/>
                <w:szCs w:val="14"/>
                <w:color w:val="auto"/>
              </w:rPr>
            </w:pPr>
          </w:p>
        </w:tc>
        <w:tc>
          <w:tcPr>
            <w:tcW w:w="200" w:type="dxa"/>
            <w:vAlign w:val="bottom"/>
            <w:tcBorders>
              <w:top w:val="single" w:sz="8" w:color="auto"/>
            </w:tcBorders>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219,640</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9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70,121</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Interest payable</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2,165</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1,229</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2,853</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936</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76</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(688)</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(24)</w:t>
            </w:r>
          </w:p>
        </w:tc>
        <w:tc>
          <w:tcPr>
            <w:tcW w:w="0" w:type="dxa"/>
            <w:vAlign w:val="bottom"/>
          </w:tcPr>
          <w:p>
            <w:pPr>
              <w:spacing w:after="0"/>
              <w:rPr>
                <w:sz w:val="1"/>
                <w:szCs w:val="1"/>
                <w:color w:val="auto"/>
              </w:rPr>
            </w:pPr>
          </w:p>
        </w:tc>
      </w:tr>
      <w:tr>
        <w:trPr>
          <w:trHeight w:val="166"/>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Total deposits</w:t>
            </w:r>
          </w:p>
        </w:tc>
        <w:tc>
          <w:tcPr>
            <w:tcW w:w="1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3,258,033</w:t>
            </w:r>
          </w:p>
        </w:tc>
        <w:tc>
          <w:tcPr>
            <w:tcW w:w="100" w:type="dxa"/>
            <w:vAlign w:val="bottom"/>
          </w:tcPr>
          <w:p>
            <w:pPr>
              <w:spacing w:after="0"/>
              <w:rPr>
                <w:sz w:val="14"/>
                <w:szCs w:val="14"/>
                <w:color w:val="auto"/>
              </w:rPr>
            </w:pPr>
          </w:p>
        </w:tc>
        <w:tc>
          <w:tcPr>
            <w:tcW w:w="500" w:type="dxa"/>
            <w:vAlign w:val="bottom"/>
            <w:tcBorders>
              <w:top w:val="single" w:sz="8" w:color="auto"/>
            </w:tcBorders>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3,037,457</w:t>
            </w:r>
          </w:p>
        </w:tc>
        <w:tc>
          <w:tcPr>
            <w:tcW w:w="80" w:type="dxa"/>
            <w:vAlign w:val="bottom"/>
          </w:tcPr>
          <w:p>
            <w:pPr>
              <w:spacing w:after="0"/>
              <w:rPr>
                <w:sz w:val="14"/>
                <w:szCs w:val="14"/>
                <w:color w:val="auto"/>
              </w:rPr>
            </w:pPr>
          </w:p>
        </w:tc>
        <w:tc>
          <w:tcPr>
            <w:tcW w:w="1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3,188,600</w:t>
            </w:r>
          </w:p>
        </w:tc>
        <w:tc>
          <w:tcPr>
            <w:tcW w:w="100" w:type="dxa"/>
            <w:vAlign w:val="bottom"/>
          </w:tcPr>
          <w:p>
            <w:pPr>
              <w:spacing w:after="0"/>
              <w:rPr>
                <w:sz w:val="14"/>
                <w:szCs w:val="14"/>
                <w:color w:val="auto"/>
              </w:rPr>
            </w:pPr>
          </w:p>
        </w:tc>
        <w:tc>
          <w:tcPr>
            <w:tcW w:w="200" w:type="dxa"/>
            <w:vAlign w:val="bottom"/>
            <w:tcBorders>
              <w:top w:val="single" w:sz="8" w:color="auto"/>
            </w:tcBorders>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220,576</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9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69,433</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w:t>
            </w:r>
          </w:p>
        </w:tc>
        <w:tc>
          <w:tcPr>
            <w:tcW w:w="0" w:type="dxa"/>
            <w:vAlign w:val="bottom"/>
          </w:tcPr>
          <w:p>
            <w:pPr>
              <w:spacing w:after="0"/>
              <w:rPr>
                <w:sz w:val="1"/>
                <w:szCs w:val="1"/>
                <w:color w:val="auto"/>
              </w:rPr>
            </w:pPr>
          </w:p>
        </w:tc>
      </w:tr>
      <w:tr>
        <w:trPr>
          <w:trHeight w:val="30"/>
        </w:trPr>
        <w:tc>
          <w:tcPr>
            <w:tcW w:w="3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2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8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196"/>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Securities sold under repurchase agreements</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345,848</w:t>
            </w:r>
          </w:p>
        </w:tc>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427,497</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156,690</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(81,649)</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189,158</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121</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Borrowings and debt, net</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3,580,687</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spacing w:after="0"/>
              <w:rPr>
                <w:sz w:val="15"/>
                <w:szCs w:val="15"/>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3,321,911</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1,869,304</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258,776</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1,711,383</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92</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Interest payable</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15,020</w:t>
            </w:r>
          </w:p>
        </w:tc>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11,322</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9,248</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3,698</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5,772</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62</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Acceptance outstanding</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193,119</w:t>
            </w:r>
          </w:p>
        </w:tc>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201,515</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78,164</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(8,396)</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114,955</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147</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Derivative financial instruments - liabilities</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29,672</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spacing w:after="0"/>
              <w:rPr>
                <w:sz w:val="15"/>
                <w:szCs w:val="15"/>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28,455</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19,449</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1,217</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10,223</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53</w:t>
            </w:r>
          </w:p>
        </w:tc>
        <w:tc>
          <w:tcPr>
            <w:tcW w:w="0" w:type="dxa"/>
            <w:vAlign w:val="bottom"/>
          </w:tcPr>
          <w:p>
            <w:pPr>
              <w:spacing w:after="0"/>
              <w:rPr>
                <w:sz w:val="1"/>
                <w:szCs w:val="1"/>
                <w:color w:val="auto"/>
              </w:rPr>
            </w:pPr>
          </w:p>
        </w:tc>
      </w:tr>
      <w:tr>
        <w:trPr>
          <w:trHeight w:val="144"/>
        </w:trPr>
        <w:tc>
          <w:tcPr>
            <w:tcW w:w="3100" w:type="dxa"/>
            <w:vAlign w:val="bottom"/>
          </w:tcPr>
          <w:p>
            <w:pPr>
              <w:ind w:left="20"/>
              <w:spacing w:after="0" w:line="144" w:lineRule="exact"/>
              <w:rPr>
                <w:sz w:val="20"/>
                <w:szCs w:val="20"/>
                <w:color w:val="auto"/>
              </w:rPr>
            </w:pPr>
            <w:r>
              <w:rPr>
                <w:rFonts w:ascii="Times New Roman" w:cs="Times New Roman" w:eastAsia="Times New Roman" w:hAnsi="Times New Roman"/>
                <w:sz w:val="13"/>
                <w:szCs w:val="13"/>
                <w:color w:val="auto"/>
              </w:rPr>
              <w:t>Allowance for loan commitments and financial guarantee</w:t>
            </w:r>
          </w:p>
        </w:tc>
        <w:tc>
          <w:tcPr>
            <w:tcW w:w="1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contract losses</w:t>
            </w:r>
          </w:p>
        </w:tc>
        <w:tc>
          <w:tcPr>
            <w:tcW w:w="120" w:type="dxa"/>
            <w:vAlign w:val="bottom"/>
          </w:tcPr>
          <w:p>
            <w:pPr>
              <w:spacing w:after="0"/>
              <w:rPr>
                <w:sz w:val="14"/>
                <w:szCs w:val="14"/>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3,455</w:t>
            </w:r>
          </w:p>
        </w:tc>
        <w:tc>
          <w:tcPr>
            <w:tcW w:w="10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3,803</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2,936</w:t>
            </w: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(348)</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519</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18</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Other liabilities</w:t>
            </w:r>
          </w:p>
        </w:tc>
        <w:tc>
          <w:tcPr>
            <w:tcW w:w="1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27,993</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Borders>
              <w:bottom w:val="single" w:sz="8" w:color="CCEEFF"/>
            </w:tcBorders>
            <w:shd w:val="clear" w:color="auto" w:fill="CCEEFF"/>
          </w:tcPr>
          <w:p>
            <w:pPr>
              <w:spacing w:after="0"/>
              <w:rPr>
                <w:sz w:val="17"/>
                <w:szCs w:val="17"/>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14,361</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13,780</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13,632</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95</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14,213</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103</w:t>
            </w:r>
          </w:p>
        </w:tc>
        <w:tc>
          <w:tcPr>
            <w:tcW w:w="0" w:type="dxa"/>
            <w:vAlign w:val="bottom"/>
          </w:tcPr>
          <w:p>
            <w:pPr>
              <w:spacing w:after="0"/>
              <w:rPr>
                <w:sz w:val="1"/>
                <w:szCs w:val="1"/>
                <w:color w:val="auto"/>
              </w:rPr>
            </w:pPr>
          </w:p>
        </w:tc>
      </w:tr>
      <w:tr>
        <w:trPr>
          <w:trHeight w:val="196"/>
        </w:trPr>
        <w:tc>
          <w:tcPr>
            <w:tcW w:w="3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Borders>
              <w:top w:val="single" w:sz="8" w:color="auto"/>
            </w:tcBorders>
          </w:tcPr>
          <w:p>
            <w:pPr>
              <w:spacing w:after="0"/>
              <w:rPr>
                <w:sz w:val="17"/>
                <w:szCs w:val="17"/>
                <w:color w:val="auto"/>
              </w:rPr>
            </w:pPr>
          </w:p>
        </w:tc>
        <w:tc>
          <w:tcPr>
            <w:tcW w:w="62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Total liabilities</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7,453,827</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7,046,321</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5,338,171</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407,506</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6 %</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2,115,656</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40 %</w:t>
            </w:r>
          </w:p>
        </w:tc>
        <w:tc>
          <w:tcPr>
            <w:tcW w:w="0" w:type="dxa"/>
            <w:vAlign w:val="bottom"/>
          </w:tcPr>
          <w:p>
            <w:pPr>
              <w:spacing w:after="0"/>
              <w:rPr>
                <w:sz w:val="1"/>
                <w:szCs w:val="1"/>
                <w:color w:val="auto"/>
              </w:rPr>
            </w:pPr>
          </w:p>
        </w:tc>
      </w:tr>
      <w:tr>
        <w:trPr>
          <w:trHeight w:val="196"/>
        </w:trPr>
        <w:tc>
          <w:tcPr>
            <w:tcW w:w="3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Borders>
              <w:top w:val="single" w:sz="8" w:color="auto"/>
            </w:tcBorders>
          </w:tcPr>
          <w:p>
            <w:pPr>
              <w:spacing w:after="0"/>
              <w:rPr>
                <w:sz w:val="17"/>
                <w:szCs w:val="17"/>
                <w:color w:val="auto"/>
              </w:rPr>
            </w:pPr>
          </w:p>
        </w:tc>
        <w:tc>
          <w:tcPr>
            <w:tcW w:w="62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Equity</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spacing w:after="0"/>
              <w:rPr>
                <w:sz w:val="15"/>
                <w:szCs w:val="15"/>
                <w:color w:val="auto"/>
              </w:rPr>
            </w:pPr>
          </w:p>
        </w:tc>
        <w:tc>
          <w:tcPr>
            <w:tcW w:w="62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98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3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Common stock</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279,980</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279,980</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279,980</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0 %</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0 %</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Treasury stock</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(115,135)</w:t>
            </w:r>
          </w:p>
        </w:tc>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(115,799)</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(57,452)</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664</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(57,683)</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(100)</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44"/>
        </w:trPr>
        <w:tc>
          <w:tcPr>
            <w:tcW w:w="3100" w:type="dxa"/>
            <w:vAlign w:val="bottom"/>
            <w:shd w:val="clear" w:color="auto" w:fill="CCEEFF"/>
          </w:tcPr>
          <w:p>
            <w:pPr>
              <w:ind w:left="20"/>
              <w:spacing w:after="0" w:line="144" w:lineRule="exact"/>
              <w:rPr>
                <w:sz w:val="20"/>
                <w:szCs w:val="20"/>
                <w:color w:val="auto"/>
              </w:rPr>
            </w:pPr>
            <w:r>
              <w:rPr>
                <w:rFonts w:ascii="Times New Roman" w:cs="Times New Roman" w:eastAsia="Times New Roman" w:hAnsi="Times New Roman"/>
                <w:sz w:val="13"/>
                <w:szCs w:val="13"/>
                <w:color w:val="auto"/>
              </w:rPr>
              <w:t>Additional paid-in capital in excess of value assigned of</w:t>
            </w:r>
          </w:p>
        </w:tc>
        <w:tc>
          <w:tcPr>
            <w:tcW w:w="1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4"/>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common stock</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119,797</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spacing w:after="0"/>
              <w:rPr>
                <w:sz w:val="15"/>
                <w:szCs w:val="15"/>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120,043</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120,305</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(246)</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(508)</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Capital reserves</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95,210</w:t>
            </w:r>
          </w:p>
        </w:tc>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95,210</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95,210</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2"/>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Regulatory reserves</w:t>
            </w: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136,019</w:t>
            </w:r>
          </w:p>
        </w:tc>
        <w:tc>
          <w:tcPr>
            <w:tcW w:w="100" w:type="dxa"/>
            <w:vAlign w:val="bottom"/>
            <w:tcBorders>
              <w:bottom w:val="single" w:sz="8" w:color="CCEEFF"/>
            </w:tcBorders>
            <w:shd w:val="clear" w:color="auto" w:fill="CCEEFF"/>
          </w:tcPr>
          <w:p>
            <w:pPr>
              <w:spacing w:after="0"/>
              <w:rPr>
                <w:sz w:val="15"/>
                <w:szCs w:val="15"/>
                <w:color w:val="auto"/>
              </w:rPr>
            </w:pPr>
          </w:p>
        </w:tc>
        <w:tc>
          <w:tcPr>
            <w:tcW w:w="500" w:type="dxa"/>
            <w:vAlign w:val="bottom"/>
            <w:tcBorders>
              <w:bottom w:val="single" w:sz="8" w:color="CCEEFF"/>
            </w:tcBorders>
            <w:shd w:val="clear" w:color="auto" w:fill="CCEEFF"/>
          </w:tcPr>
          <w:p>
            <w:pPr>
              <w:spacing w:after="0"/>
              <w:rPr>
                <w:sz w:val="15"/>
                <w:szCs w:val="15"/>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136,019</w:t>
            </w:r>
          </w:p>
        </w:tc>
        <w:tc>
          <w:tcPr>
            <w:tcW w:w="8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136,019</w:t>
            </w:r>
          </w:p>
        </w:tc>
        <w:tc>
          <w:tcPr>
            <w:tcW w:w="10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73"/>
        </w:trPr>
        <w:tc>
          <w:tcPr>
            <w:tcW w:w="3100" w:type="dxa"/>
            <w:vAlign w:val="bottom"/>
          </w:tcPr>
          <w:p>
            <w:pPr>
              <w:ind w:left="20"/>
              <w:spacing w:after="0"/>
              <w:rPr>
                <w:sz w:val="20"/>
                <w:szCs w:val="20"/>
                <w:color w:val="auto"/>
              </w:rPr>
            </w:pPr>
            <w:r>
              <w:rPr>
                <w:rFonts w:ascii="Times New Roman" w:cs="Times New Roman" w:eastAsia="Times New Roman" w:hAnsi="Times New Roman"/>
                <w:sz w:val="13"/>
                <w:szCs w:val="13"/>
                <w:color w:val="auto"/>
              </w:rPr>
              <w:t>Retained earnings</w:t>
            </w: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489,936</w:t>
            </w:r>
          </w:p>
        </w:tc>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487,885</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466,978</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2,051</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22,958</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5</w:t>
            </w:r>
          </w:p>
        </w:tc>
        <w:tc>
          <w:tcPr>
            <w:tcW w:w="0" w:type="dxa"/>
            <w:vAlign w:val="bottom"/>
          </w:tcPr>
          <w:p>
            <w:pPr>
              <w:spacing w:after="0"/>
              <w:rPr>
                <w:sz w:val="1"/>
                <w:szCs w:val="1"/>
                <w:color w:val="auto"/>
              </w:rPr>
            </w:pPr>
          </w:p>
        </w:tc>
      </w:tr>
      <w:tr>
        <w:trPr>
          <w:trHeight w:val="30"/>
        </w:trPr>
        <w:tc>
          <w:tcPr>
            <w:tcW w:w="3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500" w:type="dxa"/>
            <w:vAlign w:val="bottom"/>
          </w:tcPr>
          <w:p>
            <w:pPr>
              <w:spacing w:after="0"/>
              <w:rPr>
                <w:sz w:val="2"/>
                <w:szCs w:val="2"/>
                <w:color w:val="auto"/>
              </w:rPr>
            </w:pPr>
          </w:p>
        </w:tc>
        <w:tc>
          <w:tcPr>
            <w:tcW w:w="62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Other comprehensive income (loss)</w:t>
            </w:r>
          </w:p>
        </w:tc>
        <w:tc>
          <w:tcPr>
            <w:tcW w:w="1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(1,251)</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Borders>
              <w:bottom w:val="single" w:sz="8" w:color="CCEEFF"/>
            </w:tcBorders>
            <w:shd w:val="clear" w:color="auto" w:fill="CCEEFF"/>
          </w:tcPr>
          <w:p>
            <w:pPr>
              <w:spacing w:after="0"/>
              <w:rPr>
                <w:sz w:val="17"/>
                <w:szCs w:val="17"/>
                <w:color w:val="auto"/>
              </w:rPr>
            </w:pP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(11,548)</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(4,365)</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10,297</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89</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3,114</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71</w:t>
            </w:r>
          </w:p>
        </w:tc>
        <w:tc>
          <w:tcPr>
            <w:tcW w:w="0" w:type="dxa"/>
            <w:vAlign w:val="bottom"/>
          </w:tcPr>
          <w:p>
            <w:pPr>
              <w:spacing w:after="0"/>
              <w:rPr>
                <w:sz w:val="1"/>
                <w:szCs w:val="1"/>
                <w:color w:val="auto"/>
              </w:rPr>
            </w:pPr>
          </w:p>
        </w:tc>
      </w:tr>
      <w:tr>
        <w:trPr>
          <w:trHeight w:val="196"/>
        </w:trPr>
        <w:tc>
          <w:tcPr>
            <w:tcW w:w="3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500" w:type="dxa"/>
            <w:vAlign w:val="bottom"/>
            <w:tcBorders>
              <w:top w:val="single" w:sz="8" w:color="auto"/>
            </w:tcBorders>
          </w:tcPr>
          <w:p>
            <w:pPr>
              <w:spacing w:after="0"/>
              <w:rPr>
                <w:sz w:val="17"/>
                <w:szCs w:val="17"/>
                <w:color w:val="auto"/>
              </w:rPr>
            </w:pPr>
          </w:p>
        </w:tc>
        <w:tc>
          <w:tcPr>
            <w:tcW w:w="62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Total equity</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1,004,556</w:t>
            </w:r>
          </w:p>
        </w:tc>
        <w:tc>
          <w:tcPr>
            <w:tcW w:w="100" w:type="dxa"/>
            <w:vAlign w:val="bottom"/>
            <w:tcBorders>
              <w:bottom w:val="single" w:sz="8" w:color="CCEEFF"/>
            </w:tcBorders>
            <w:shd w:val="clear" w:color="auto" w:fill="CCEEFF"/>
          </w:tcPr>
          <w:p>
            <w:pPr>
              <w:spacing w:after="0"/>
              <w:rPr>
                <w:sz w:val="17"/>
                <w:szCs w:val="17"/>
                <w:color w:val="auto"/>
              </w:rPr>
            </w:pPr>
          </w:p>
        </w:tc>
        <w:tc>
          <w:tcPr>
            <w:tcW w:w="500" w:type="dxa"/>
            <w:vAlign w:val="bottom"/>
            <w:tcBorders>
              <w:bottom w:val="single" w:sz="8" w:color="CCEEFF"/>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991,790</w:t>
            </w:r>
          </w:p>
        </w:tc>
        <w:tc>
          <w:tcPr>
            <w:tcW w:w="8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1,036,675</w:t>
            </w: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12,766</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1 %</w:t>
            </w:r>
          </w:p>
        </w:tc>
        <w:tc>
          <w:tcPr>
            <w:tcW w:w="10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(32,119)</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w:t>
            </w:r>
          </w:p>
        </w:tc>
        <w:tc>
          <w:tcPr>
            <w:tcW w:w="0" w:type="dxa"/>
            <w:vAlign w:val="bottom"/>
          </w:tcPr>
          <w:p>
            <w:pPr>
              <w:spacing w:after="0"/>
              <w:rPr>
                <w:sz w:val="1"/>
                <w:szCs w:val="1"/>
                <w:color w:val="auto"/>
              </w:rPr>
            </w:pPr>
          </w:p>
        </w:tc>
      </w:tr>
      <w:tr>
        <w:trPr>
          <w:trHeight w:val="196"/>
        </w:trPr>
        <w:tc>
          <w:tcPr>
            <w:tcW w:w="310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spacing w:after="0"/>
              <w:rPr>
                <w:sz w:val="17"/>
                <w:szCs w:val="17"/>
                <w:color w:val="auto"/>
              </w:rPr>
            </w:pPr>
          </w:p>
        </w:tc>
        <w:tc>
          <w:tcPr>
            <w:tcW w:w="100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500" w:type="dxa"/>
            <w:vAlign w:val="bottom"/>
            <w:tcBorders>
              <w:top w:val="single" w:sz="8" w:color="auto"/>
              <w:bottom w:val="single" w:sz="8" w:color="auto"/>
            </w:tcBorders>
          </w:tcPr>
          <w:p>
            <w:pPr>
              <w:spacing w:after="0"/>
              <w:rPr>
                <w:sz w:val="17"/>
                <w:szCs w:val="17"/>
                <w:color w:val="auto"/>
              </w:rPr>
            </w:pPr>
          </w:p>
        </w:tc>
        <w:tc>
          <w:tcPr>
            <w:tcW w:w="620" w:type="dxa"/>
            <w:vAlign w:val="bottom"/>
            <w:tcBorders>
              <w:top w:val="single" w:sz="8" w:color="auto"/>
              <w:bottom w:val="single" w:sz="8" w:color="auto"/>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spacing w:after="0"/>
              <w:rPr>
                <w:sz w:val="17"/>
                <w:szCs w:val="17"/>
                <w:color w:val="auto"/>
              </w:rPr>
            </w:pPr>
          </w:p>
        </w:tc>
        <w:tc>
          <w:tcPr>
            <w:tcW w:w="100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200" w:type="dxa"/>
            <w:vAlign w:val="bottom"/>
            <w:tcBorders>
              <w:top w:val="single" w:sz="8" w:color="auto"/>
              <w:bottom w:val="single" w:sz="8" w:color="auto"/>
            </w:tcBorders>
          </w:tcPr>
          <w:p>
            <w:pPr>
              <w:spacing w:after="0"/>
              <w:rPr>
                <w:sz w:val="17"/>
                <w:szCs w:val="17"/>
                <w:color w:val="auto"/>
              </w:rPr>
            </w:pPr>
          </w:p>
        </w:tc>
        <w:tc>
          <w:tcPr>
            <w:tcW w:w="92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76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80" w:type="dxa"/>
            <w:vAlign w:val="bottom"/>
            <w:tcBorders>
              <w:top w:val="single" w:sz="8" w:color="auto"/>
              <w:bottom w:val="single" w:sz="8" w:color="auto"/>
            </w:tcBorders>
          </w:tcPr>
          <w:p>
            <w:pPr>
              <w:spacing w:after="0"/>
              <w:rPr>
                <w:sz w:val="17"/>
                <w:szCs w:val="17"/>
                <w:color w:val="auto"/>
              </w:rPr>
            </w:pPr>
          </w:p>
        </w:tc>
        <w:tc>
          <w:tcPr>
            <w:tcW w:w="940" w:type="dxa"/>
            <w:vAlign w:val="bottom"/>
            <w:tcBorders>
              <w:top w:val="single" w:sz="8" w:color="auto"/>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9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220"/>
        </w:trPr>
        <w:tc>
          <w:tcPr>
            <w:tcW w:w="31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Total liabilities and equity</w:t>
            </w:r>
          </w:p>
        </w:tc>
        <w:tc>
          <w:tcPr>
            <w:tcW w:w="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8,458,383</w:t>
            </w:r>
          </w:p>
        </w:tc>
        <w:tc>
          <w:tcPr>
            <w:tcW w:w="100" w:type="dxa"/>
            <w:vAlign w:val="bottom"/>
            <w:tcBorders>
              <w:bottom w:val="single" w:sz="8" w:color="CCEEFF"/>
            </w:tcBorders>
            <w:shd w:val="clear" w:color="auto" w:fill="CCEEFF"/>
          </w:tcPr>
          <w:p>
            <w:pPr>
              <w:spacing w:after="0"/>
              <w:rPr>
                <w:sz w:val="18"/>
                <w:szCs w:val="18"/>
                <w:color w:val="auto"/>
              </w:rPr>
            </w:pPr>
          </w:p>
        </w:tc>
        <w:tc>
          <w:tcPr>
            <w:tcW w:w="500" w:type="dxa"/>
            <w:vAlign w:val="bottom"/>
            <w:tcBorders>
              <w:bottom w:val="single" w:sz="8" w:color="auto"/>
            </w:tcBorders>
            <w:shd w:val="clear" w:color="auto" w:fill="CCEEFF"/>
          </w:tcPr>
          <w:p>
            <w:pPr>
              <w:jc w:val="right"/>
              <w:ind w:right="357"/>
              <w:spacing w:after="0"/>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8,038,111</w:t>
            </w:r>
          </w:p>
        </w:tc>
        <w:tc>
          <w:tcPr>
            <w:tcW w:w="8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6,374,846</w:t>
            </w:r>
          </w:p>
        </w:tc>
        <w:tc>
          <w:tcPr>
            <w:tcW w:w="100" w:type="dxa"/>
            <w:vAlign w:val="bottom"/>
            <w:tcBorders>
              <w:bottom w:val="single" w:sz="8" w:color="CCEEFF"/>
            </w:tcBorders>
            <w:shd w:val="clear" w:color="auto" w:fill="CCEEFF"/>
          </w:tcPr>
          <w:p>
            <w:pPr>
              <w:spacing w:after="0"/>
              <w:rPr>
                <w:sz w:val="18"/>
                <w:szCs w:val="18"/>
                <w:color w:val="auto"/>
              </w:rPr>
            </w:pPr>
          </w:p>
        </w:tc>
        <w:tc>
          <w:tcPr>
            <w:tcW w:w="200" w:type="dxa"/>
            <w:vAlign w:val="bottom"/>
            <w:tcBorders>
              <w:bottom w:val="single" w:sz="8" w:color="auto"/>
            </w:tcBorders>
            <w:shd w:val="clear" w:color="auto" w:fill="CCEEFF"/>
          </w:tcPr>
          <w:p>
            <w:pPr>
              <w:jc w:val="right"/>
              <w:ind w:right="57"/>
              <w:spacing w:after="0"/>
              <w:rPr>
                <w:sz w:val="20"/>
                <w:szCs w:val="20"/>
                <w:color w:val="auto"/>
              </w:rPr>
            </w:pPr>
            <w:r>
              <w:rPr>
                <w:rFonts w:ascii="Times New Roman" w:cs="Times New Roman" w:eastAsia="Times New Roman" w:hAnsi="Times New Roman"/>
                <w:sz w:val="13"/>
                <w:szCs w:val="13"/>
                <w:color w:val="auto"/>
                <w:w w:val="9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420,272</w:t>
            </w:r>
          </w:p>
        </w:tc>
        <w:tc>
          <w:tcPr>
            <w:tcW w:w="10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5 %</w:t>
            </w:r>
          </w:p>
        </w:tc>
        <w:tc>
          <w:tcPr>
            <w:tcW w:w="100" w:type="dxa"/>
            <w:vAlign w:val="bottom"/>
            <w:tcBorders>
              <w:bottom w:val="single" w:sz="8" w:color="CCEEFF"/>
            </w:tcBorders>
            <w:shd w:val="clear" w:color="auto" w:fill="CCEEFF"/>
          </w:tcPr>
          <w:p>
            <w:pPr>
              <w:spacing w:after="0"/>
              <w:rPr>
                <w:sz w:val="18"/>
                <w:szCs w:val="18"/>
                <w:color w:val="auto"/>
              </w:rPr>
            </w:pPr>
          </w:p>
        </w:tc>
        <w:tc>
          <w:tcPr>
            <w:tcW w:w="180" w:type="dxa"/>
            <w:vAlign w:val="bottom"/>
            <w:tcBorders>
              <w:bottom w:val="single" w:sz="8" w:color="auto"/>
            </w:tcBorders>
            <w:shd w:val="clear" w:color="auto" w:fill="CCEEFF"/>
          </w:tcPr>
          <w:p>
            <w:pPr>
              <w:jc w:val="right"/>
              <w:ind w:right="37"/>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2,083,537</w:t>
            </w:r>
          </w:p>
        </w:tc>
        <w:tc>
          <w:tcPr>
            <w:tcW w:w="10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33 %</w:t>
            </w:r>
          </w:p>
        </w:tc>
        <w:tc>
          <w:tcPr>
            <w:tcW w:w="0" w:type="dxa"/>
            <w:vAlign w:val="bottom"/>
          </w:tcPr>
          <w:p>
            <w:pPr>
              <w:spacing w:after="0"/>
              <w:rPr>
                <w:sz w:val="1"/>
                <w:szCs w:val="1"/>
                <w:color w:val="auto"/>
              </w:rPr>
            </w:pPr>
          </w:p>
        </w:tc>
      </w:tr>
      <w:tr>
        <w:trPr>
          <w:trHeight w:val="20"/>
        </w:trPr>
        <w:tc>
          <w:tcPr>
            <w:tcW w:w="3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6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440" w:right="339" w:bottom="1440" w:gutter="0" w:footer="0" w:header="0"/>
        </w:sectPr>
      </w:pPr>
    </w:p>
    <w:p>
      <w:pPr>
        <w:spacing w:after="0" w:line="362"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type w:val="continuous"/>
        </w:sectPr>
      </w:pPr>
    </w:p>
    <w:bookmarkStart w:id="14" w:name="page15"/>
    <w:bookmarkEnd w:id="14"/>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282"/>
        </w:trPr>
        <w:tc>
          <w:tcPr>
            <w:tcW w:w="2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140" w:type="dxa"/>
            <w:vAlign w:val="bottom"/>
            <w:gridSpan w:val="12"/>
            <w:vMerge w:val="restart"/>
          </w:tcPr>
          <w:p>
            <w:pPr>
              <w:ind w:left="380"/>
              <w:spacing w:after="0"/>
              <w:rPr>
                <w:sz w:val="20"/>
                <w:szCs w:val="20"/>
                <w:color w:val="auto"/>
              </w:rPr>
            </w:pPr>
            <w:r>
              <w:rPr>
                <w:rFonts w:ascii="Times New Roman" w:cs="Times New Roman" w:eastAsia="Times New Roman" w:hAnsi="Times New Roman"/>
                <w:sz w:val="18"/>
                <w:szCs w:val="18"/>
                <w:color w:val="auto"/>
              </w:rPr>
              <w:t>CONSOLIDATED STATEMENTS OF PROFIT OR LOSS</w:t>
            </w: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22"/>
                <w:szCs w:val="22"/>
                <w:color w:val="auto"/>
                <w:w w:val="97"/>
              </w:rPr>
              <w:t>EXHIBIT II</w:t>
            </w:r>
          </w:p>
        </w:tc>
        <w:tc>
          <w:tcPr>
            <w:tcW w:w="0" w:type="dxa"/>
            <w:vAlign w:val="bottom"/>
          </w:tcPr>
          <w:p>
            <w:pPr>
              <w:spacing w:after="0"/>
              <w:rPr>
                <w:sz w:val="1"/>
                <w:szCs w:val="1"/>
                <w:color w:val="auto"/>
              </w:rPr>
            </w:pPr>
          </w:p>
        </w:tc>
      </w:tr>
      <w:tr>
        <w:trPr>
          <w:trHeight w:val="177"/>
        </w:trPr>
        <w:tc>
          <w:tcPr>
            <w:tcW w:w="29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5140" w:type="dxa"/>
            <w:vAlign w:val="bottom"/>
            <w:gridSpan w:val="12"/>
            <w:vMerge w:val="continue"/>
          </w:tcPr>
          <w:p>
            <w:pPr>
              <w:spacing w:after="0"/>
              <w:rPr>
                <w:sz w:val="15"/>
                <w:szCs w:val="15"/>
                <w:color w:val="auto"/>
              </w:rPr>
            </w:pPr>
          </w:p>
        </w:tc>
        <w:tc>
          <w:tcPr>
            <w:tcW w:w="7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82"/>
        </w:trPr>
        <w:tc>
          <w:tcPr>
            <w:tcW w:w="2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140" w:type="dxa"/>
            <w:vAlign w:val="bottom"/>
            <w:gridSpan w:val="12"/>
          </w:tcPr>
          <w:p>
            <w:pPr>
              <w:ind w:left="120"/>
              <w:spacing w:after="0"/>
              <w:rPr>
                <w:sz w:val="20"/>
                <w:szCs w:val="20"/>
                <w:color w:val="auto"/>
              </w:rPr>
            </w:pPr>
            <w:r>
              <w:rPr>
                <w:rFonts w:ascii="Times New Roman" w:cs="Times New Roman" w:eastAsia="Times New Roman" w:hAnsi="Times New Roman"/>
                <w:sz w:val="22"/>
                <w:szCs w:val="22"/>
                <w:color w:val="auto"/>
              </w:rPr>
              <w:t>(In US$ thousand, except per share amounts and ratios)</w:t>
            </w: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8"/>
        </w:trPr>
        <w:tc>
          <w:tcPr>
            <w:tcW w:w="2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720" w:type="dxa"/>
            <w:vAlign w:val="bottom"/>
            <w:gridSpan w:val="8"/>
          </w:tcPr>
          <w:p>
            <w:pPr>
              <w:jc w:val="center"/>
              <w:ind w:right="220"/>
              <w:spacing w:after="0"/>
              <w:rPr>
                <w:sz w:val="20"/>
                <w:szCs w:val="20"/>
                <w:color w:val="auto"/>
              </w:rPr>
            </w:pPr>
            <w:r>
              <w:rPr>
                <w:rFonts w:ascii="Times New Roman" w:cs="Times New Roman" w:eastAsia="Times New Roman" w:hAnsi="Times New Roman"/>
                <w:sz w:val="14"/>
                <w:szCs w:val="14"/>
                <w:color w:val="auto"/>
              </w:rPr>
              <w:t>FOR THE THREE MONTHS ENDED</w:t>
            </w:r>
          </w:p>
        </w:tc>
        <w:tc>
          <w:tcPr>
            <w:tcW w:w="1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gridSpan w:val="2"/>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gridSpan w:val="2"/>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1240" w:type="dxa"/>
            <w:vAlign w:val="bottom"/>
            <w:gridSpan w:val="3"/>
            <w:vMerge w:val="restart"/>
          </w:tcPr>
          <w:p>
            <w:pPr>
              <w:jc w:val="center"/>
              <w:ind w:right="500"/>
              <w:spacing w:after="0"/>
              <w:rPr>
                <w:sz w:val="20"/>
                <w:szCs w:val="20"/>
                <w:color w:val="auto"/>
              </w:rPr>
            </w:pPr>
            <w:r>
              <w:rPr>
                <w:rFonts w:ascii="Times New Roman" w:cs="Times New Roman" w:eastAsia="Times New Roman" w:hAnsi="Times New Roman"/>
                <w:sz w:val="14"/>
                <w:szCs w:val="14"/>
                <w:color w:val="auto"/>
              </w:rPr>
              <w:t>(A) - (B)</w:t>
            </w: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vMerge w:val="restart"/>
          </w:tcPr>
          <w:p>
            <w:pPr>
              <w:jc w:val="right"/>
              <w:ind w:right="188"/>
              <w:spacing w:after="0"/>
              <w:rPr>
                <w:sz w:val="20"/>
                <w:szCs w:val="20"/>
                <w:color w:val="auto"/>
              </w:rPr>
            </w:pPr>
            <w:r>
              <w:rPr>
                <w:rFonts w:ascii="Times New Roman" w:cs="Times New Roman" w:eastAsia="Times New Roman" w:hAnsi="Times New Roman"/>
                <w:sz w:val="14"/>
                <w:szCs w:val="14"/>
                <w:color w:val="auto"/>
              </w:rPr>
              <w:t>(A) - (C)</w:t>
            </w: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29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60" w:type="dxa"/>
            <w:vAlign w:val="bottom"/>
            <w:gridSpan w:val="2"/>
          </w:tcPr>
          <w:p>
            <w:pPr>
              <w:ind w:left="380"/>
              <w:spacing w:after="0"/>
              <w:rPr>
                <w:sz w:val="20"/>
                <w:szCs w:val="20"/>
                <w:color w:val="auto"/>
              </w:rPr>
            </w:pPr>
            <w:r>
              <w:rPr>
                <w:rFonts w:ascii="Times New Roman" w:cs="Times New Roman" w:eastAsia="Times New Roman" w:hAnsi="Times New Roman"/>
                <w:sz w:val="14"/>
                <w:szCs w:val="14"/>
                <w:color w:val="auto"/>
              </w:rPr>
              <w:t>(A)</w:t>
            </w:r>
          </w:p>
        </w:tc>
        <w:tc>
          <w:tcPr>
            <w:tcW w:w="300" w:type="dxa"/>
            <w:vAlign w:val="bottom"/>
          </w:tcPr>
          <w:p>
            <w:pPr>
              <w:spacing w:after="0"/>
              <w:rPr>
                <w:sz w:val="16"/>
                <w:szCs w:val="16"/>
                <w:color w:val="auto"/>
              </w:rPr>
            </w:pPr>
          </w:p>
        </w:tc>
        <w:tc>
          <w:tcPr>
            <w:tcW w:w="980" w:type="dxa"/>
            <w:vAlign w:val="bottom"/>
            <w:gridSpan w:val="2"/>
          </w:tcPr>
          <w:p>
            <w:pPr>
              <w:jc w:val="center"/>
              <w:ind w:right="380"/>
              <w:spacing w:after="0"/>
              <w:rPr>
                <w:sz w:val="20"/>
                <w:szCs w:val="20"/>
                <w:color w:val="auto"/>
              </w:rPr>
            </w:pPr>
            <w:r>
              <w:rPr>
                <w:rFonts w:ascii="Times New Roman" w:cs="Times New Roman" w:eastAsia="Times New Roman" w:hAnsi="Times New Roman"/>
                <w:sz w:val="14"/>
                <w:szCs w:val="14"/>
                <w:color w:val="auto"/>
              </w:rPr>
              <w:t>(B)</w:t>
            </w:r>
          </w:p>
        </w:tc>
        <w:tc>
          <w:tcPr>
            <w:tcW w:w="120" w:type="dxa"/>
            <w:vAlign w:val="bottom"/>
          </w:tcPr>
          <w:p>
            <w:pPr>
              <w:spacing w:after="0"/>
              <w:rPr>
                <w:sz w:val="16"/>
                <w:szCs w:val="16"/>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4"/>
                <w:szCs w:val="14"/>
                <w:color w:val="auto"/>
              </w:rPr>
              <w:t>(C)</w:t>
            </w:r>
          </w:p>
        </w:tc>
        <w:tc>
          <w:tcPr>
            <w:tcW w:w="180" w:type="dxa"/>
            <w:vAlign w:val="bottom"/>
          </w:tcPr>
          <w:p>
            <w:pPr>
              <w:spacing w:after="0"/>
              <w:rPr>
                <w:sz w:val="16"/>
                <w:szCs w:val="16"/>
                <w:color w:val="auto"/>
              </w:rPr>
            </w:pPr>
          </w:p>
        </w:tc>
        <w:tc>
          <w:tcPr>
            <w:tcW w:w="1240" w:type="dxa"/>
            <w:vAlign w:val="bottom"/>
            <w:gridSpan w:val="3"/>
            <w:vMerge w:val="continue"/>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vMerge w:val="continue"/>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March 31, 2022</w:t>
            </w:r>
          </w:p>
        </w:tc>
        <w:tc>
          <w:tcPr>
            <w:tcW w:w="128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December 31, 2021</w:t>
            </w:r>
          </w:p>
        </w:tc>
        <w:tc>
          <w:tcPr>
            <w:tcW w:w="120" w:type="dxa"/>
            <w:vAlign w:val="bottom"/>
          </w:tcPr>
          <w:p>
            <w:pPr>
              <w:spacing w:after="0"/>
              <w:rPr>
                <w:sz w:val="18"/>
                <w:szCs w:val="18"/>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4"/>
                <w:szCs w:val="14"/>
                <w:color w:val="auto"/>
              </w:rPr>
              <w:t>March 31, 2021</w:t>
            </w:r>
          </w:p>
        </w:tc>
        <w:tc>
          <w:tcPr>
            <w:tcW w:w="180" w:type="dxa"/>
            <w:vAlign w:val="bottom"/>
          </w:tcPr>
          <w:p>
            <w:pPr>
              <w:spacing w:after="0"/>
              <w:rPr>
                <w:sz w:val="18"/>
                <w:szCs w:val="18"/>
                <w:color w:val="auto"/>
              </w:rPr>
            </w:pPr>
          </w:p>
        </w:tc>
        <w:tc>
          <w:tcPr>
            <w:tcW w:w="1240" w:type="dxa"/>
            <w:vAlign w:val="bottom"/>
            <w:gridSpan w:val="3"/>
          </w:tcPr>
          <w:p>
            <w:pPr>
              <w:jc w:val="center"/>
              <w:ind w:right="480"/>
              <w:spacing w:after="0"/>
              <w:rPr>
                <w:sz w:val="20"/>
                <w:szCs w:val="20"/>
                <w:color w:val="auto"/>
              </w:rPr>
            </w:pPr>
            <w:r>
              <w:rPr>
                <w:rFonts w:ascii="Times New Roman" w:cs="Times New Roman" w:eastAsia="Times New Roman" w:hAnsi="Times New Roman"/>
                <w:sz w:val="14"/>
                <w:szCs w:val="14"/>
                <w:color w:val="auto"/>
              </w:rPr>
              <w:t>CHANGE</w:t>
            </w:r>
          </w:p>
        </w:tc>
        <w:tc>
          <w:tcPr>
            <w:tcW w:w="760" w:type="dxa"/>
            <w:vAlign w:val="bottom"/>
          </w:tcPr>
          <w:p>
            <w:pPr>
              <w:jc w:val="right"/>
              <w:ind w:right="368"/>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jc w:val="right"/>
              <w:ind w:right="148"/>
              <w:spacing w:after="0"/>
              <w:rPr>
                <w:sz w:val="20"/>
                <w:szCs w:val="20"/>
                <w:color w:val="auto"/>
              </w:rPr>
            </w:pPr>
            <w:r>
              <w:rPr>
                <w:rFonts w:ascii="Times New Roman" w:cs="Times New Roman" w:eastAsia="Times New Roman" w:hAnsi="Times New Roman"/>
                <w:sz w:val="14"/>
                <w:szCs w:val="14"/>
                <w:color w:val="auto"/>
              </w:rPr>
              <w:t>CHANGE</w:t>
            </w:r>
          </w:p>
        </w:tc>
        <w:tc>
          <w:tcPr>
            <w:tcW w:w="1080" w:type="dxa"/>
            <w:vAlign w:val="bottom"/>
            <w:gridSpan w:val="3"/>
          </w:tcPr>
          <w:p>
            <w:pPr>
              <w:jc w:val="right"/>
              <w:ind w:right="348"/>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23"/>
        </w:trPr>
        <w:tc>
          <w:tcPr>
            <w:tcW w:w="29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9"/>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Net Interest Income:</w:t>
            </w:r>
          </w:p>
        </w:tc>
        <w:tc>
          <w:tcPr>
            <w:tcW w:w="120" w:type="dxa"/>
            <w:vAlign w:val="bottom"/>
            <w:tcBorders>
              <w:bottom w:val="single" w:sz="8" w:color="CCEEFF"/>
            </w:tcBorders>
            <w:shd w:val="clear" w:color="auto" w:fill="CCEEFF"/>
          </w:tcPr>
          <w:p>
            <w:pPr>
              <w:spacing w:after="0"/>
              <w:rPr>
                <w:sz w:val="16"/>
                <w:szCs w:val="16"/>
                <w:color w:val="auto"/>
              </w:rPr>
            </w:pPr>
          </w:p>
        </w:tc>
        <w:tc>
          <w:tcPr>
            <w:tcW w:w="10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300" w:type="dxa"/>
            <w:vAlign w:val="bottom"/>
            <w:tcBorders>
              <w:bottom w:val="single" w:sz="8" w:color="CCEEFF"/>
            </w:tcBorders>
            <w:shd w:val="clear" w:color="auto" w:fill="CCEEFF"/>
          </w:tcPr>
          <w:p>
            <w:pPr>
              <w:spacing w:after="0"/>
              <w:rPr>
                <w:sz w:val="16"/>
                <w:szCs w:val="16"/>
                <w:color w:val="auto"/>
              </w:rPr>
            </w:pPr>
          </w:p>
        </w:tc>
        <w:tc>
          <w:tcPr>
            <w:tcW w:w="88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08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80" w:type="dxa"/>
            <w:vAlign w:val="bottom"/>
            <w:tcBorders>
              <w:bottom w:val="single" w:sz="8" w:color="CCEEFF"/>
            </w:tcBorders>
            <w:shd w:val="clear" w:color="auto" w:fill="CCEEFF"/>
          </w:tcPr>
          <w:p>
            <w:pPr>
              <w:spacing w:after="0"/>
              <w:rPr>
                <w:sz w:val="16"/>
                <w:szCs w:val="16"/>
                <w:color w:val="auto"/>
              </w:rPr>
            </w:pPr>
          </w:p>
        </w:tc>
        <w:tc>
          <w:tcPr>
            <w:tcW w:w="9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60" w:type="dxa"/>
            <w:vAlign w:val="bottom"/>
            <w:tcBorders>
              <w:bottom w:val="single" w:sz="8" w:color="CCEEFF"/>
            </w:tcBorders>
            <w:shd w:val="clear" w:color="auto" w:fill="CCEEFF"/>
          </w:tcPr>
          <w:p>
            <w:pPr>
              <w:spacing w:after="0"/>
              <w:rPr>
                <w:sz w:val="16"/>
                <w:szCs w:val="16"/>
                <w:color w:val="auto"/>
              </w:rPr>
            </w:pPr>
          </w:p>
        </w:tc>
        <w:tc>
          <w:tcPr>
            <w:tcW w:w="900" w:type="dxa"/>
            <w:vAlign w:val="bottom"/>
            <w:tcBorders>
              <w:bottom w:val="single" w:sz="8" w:color="CCEEFF"/>
            </w:tcBorders>
            <w:shd w:val="clear" w:color="auto" w:fill="CCEEFF"/>
          </w:tcPr>
          <w:p>
            <w:pPr>
              <w:spacing w:after="0"/>
              <w:rPr>
                <w:sz w:val="16"/>
                <w:szCs w:val="16"/>
                <w:color w:val="auto"/>
              </w:rPr>
            </w:pPr>
          </w:p>
        </w:tc>
        <w:tc>
          <w:tcPr>
            <w:tcW w:w="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Interest income</w:t>
            </w: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1060" w:type="dxa"/>
            <w:vAlign w:val="bottom"/>
          </w:tcPr>
          <w:p>
            <w:pPr>
              <w:jc w:val="right"/>
              <w:ind w:right="106"/>
              <w:spacing w:after="0"/>
              <w:rPr>
                <w:sz w:val="20"/>
                <w:szCs w:val="20"/>
                <w:color w:val="auto"/>
              </w:rPr>
            </w:pPr>
            <w:r>
              <w:rPr>
                <w:rFonts w:ascii="Times New Roman" w:cs="Times New Roman" w:eastAsia="Times New Roman" w:hAnsi="Times New Roman"/>
                <w:sz w:val="14"/>
                <w:szCs w:val="14"/>
                <w:color w:val="auto"/>
              </w:rPr>
              <w:t>45,004</w:t>
            </w:r>
          </w:p>
        </w:tc>
        <w:tc>
          <w:tcPr>
            <w:tcW w:w="100" w:type="dxa"/>
            <w:vAlign w:val="bottom"/>
          </w:tcPr>
          <w:p>
            <w:pPr>
              <w:spacing w:after="0"/>
              <w:rPr>
                <w:sz w:val="16"/>
                <w:szCs w:val="16"/>
                <w:color w:val="auto"/>
              </w:rPr>
            </w:pPr>
          </w:p>
        </w:tc>
        <w:tc>
          <w:tcPr>
            <w:tcW w:w="3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w:t>
            </w:r>
          </w:p>
        </w:tc>
        <w:tc>
          <w:tcPr>
            <w:tcW w:w="8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39,031</w:t>
            </w:r>
          </w:p>
        </w:tc>
        <w:tc>
          <w:tcPr>
            <w:tcW w:w="10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32,918</w:t>
            </w:r>
          </w:p>
        </w:tc>
        <w:tc>
          <w:tcPr>
            <w:tcW w:w="80" w:type="dxa"/>
            <w:vAlign w:val="bottom"/>
          </w:tcPr>
          <w:p>
            <w:pPr>
              <w:spacing w:after="0"/>
              <w:rPr>
                <w:sz w:val="16"/>
                <w:szCs w:val="16"/>
                <w:color w:val="auto"/>
              </w:rPr>
            </w:pPr>
          </w:p>
        </w:tc>
        <w:tc>
          <w:tcPr>
            <w:tcW w:w="18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5,973</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15 %</w:t>
            </w:r>
          </w:p>
        </w:tc>
        <w:tc>
          <w:tcPr>
            <w:tcW w:w="100" w:type="dxa"/>
            <w:vAlign w:val="bottom"/>
          </w:tcPr>
          <w:p>
            <w:pPr>
              <w:spacing w:after="0"/>
              <w:rPr>
                <w:sz w:val="16"/>
                <w:szCs w:val="16"/>
                <w:color w:val="auto"/>
              </w:rPr>
            </w:pPr>
          </w:p>
        </w:tc>
        <w:tc>
          <w:tcPr>
            <w:tcW w:w="1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w w:val="85"/>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12,086</w:t>
            </w: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4"/>
                <w:szCs w:val="14"/>
                <w:color w:val="auto"/>
              </w:rPr>
              <w:t>37 %</w:t>
            </w: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Interest expense</w:t>
            </w:r>
          </w:p>
        </w:tc>
        <w:tc>
          <w:tcPr>
            <w:tcW w:w="12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66"/>
              <w:spacing w:after="0"/>
              <w:rPr>
                <w:sz w:val="20"/>
                <w:szCs w:val="20"/>
                <w:color w:val="auto"/>
              </w:rPr>
            </w:pPr>
            <w:r>
              <w:rPr>
                <w:rFonts w:ascii="Times New Roman" w:cs="Times New Roman" w:eastAsia="Times New Roman" w:hAnsi="Times New Roman"/>
                <w:sz w:val="14"/>
                <w:szCs w:val="14"/>
                <w:color w:val="auto"/>
              </w:rPr>
              <w:t>(19,283)</w:t>
            </w:r>
          </w:p>
        </w:tc>
        <w:tc>
          <w:tcPr>
            <w:tcW w:w="100" w:type="dxa"/>
            <w:vAlign w:val="bottom"/>
            <w:tcBorders>
              <w:bottom w:val="single" w:sz="8" w:color="CCEEFF"/>
            </w:tcBorders>
            <w:shd w:val="clear" w:color="auto" w:fill="CCEEFF"/>
          </w:tcPr>
          <w:p>
            <w:pPr>
              <w:spacing w:after="0"/>
              <w:rPr>
                <w:sz w:val="18"/>
                <w:szCs w:val="18"/>
                <w:color w:val="auto"/>
              </w:rPr>
            </w:pPr>
          </w:p>
        </w:tc>
        <w:tc>
          <w:tcPr>
            <w:tcW w:w="300" w:type="dxa"/>
            <w:vAlign w:val="bottom"/>
            <w:tcBorders>
              <w:bottom w:val="single" w:sz="8" w:color="CCEEFF"/>
            </w:tcBorders>
            <w:shd w:val="clear" w:color="auto" w:fill="CCEEFF"/>
          </w:tcPr>
          <w:p>
            <w:pPr>
              <w:spacing w:after="0"/>
              <w:rPr>
                <w:sz w:val="18"/>
                <w:szCs w:val="18"/>
                <w:color w:val="auto"/>
              </w:rPr>
            </w:pPr>
          </w:p>
        </w:tc>
        <w:tc>
          <w:tcPr>
            <w:tcW w:w="8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(14,221)</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(14,023)</w:t>
            </w:r>
          </w:p>
        </w:tc>
        <w:tc>
          <w:tcPr>
            <w:tcW w:w="80" w:type="dxa"/>
            <w:vAlign w:val="bottom"/>
            <w:tcBorders>
              <w:bottom w:val="single" w:sz="8" w:color="CCEEFF"/>
            </w:tcBorders>
            <w:shd w:val="clear" w:color="auto" w:fill="CCEEFF"/>
          </w:tcPr>
          <w:p>
            <w:pPr>
              <w:spacing w:after="0"/>
              <w:rPr>
                <w:sz w:val="18"/>
                <w:szCs w:val="18"/>
                <w:color w:val="auto"/>
              </w:rPr>
            </w:pPr>
          </w:p>
        </w:tc>
        <w:tc>
          <w:tcPr>
            <w:tcW w:w="18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(5,062)</w:t>
            </w:r>
          </w:p>
        </w:tc>
        <w:tc>
          <w:tcPr>
            <w:tcW w:w="10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(36)</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(5,260)</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(38)</w:t>
            </w:r>
          </w:p>
        </w:tc>
        <w:tc>
          <w:tcPr>
            <w:tcW w:w="0" w:type="dxa"/>
            <w:vAlign w:val="bottom"/>
          </w:tcPr>
          <w:p>
            <w:pPr>
              <w:spacing w:after="0"/>
              <w:rPr>
                <w:sz w:val="1"/>
                <w:szCs w:val="1"/>
                <w:color w:val="auto"/>
              </w:rPr>
            </w:pPr>
          </w:p>
        </w:tc>
      </w:tr>
      <w:tr>
        <w:trPr>
          <w:trHeight w:val="210"/>
        </w:trPr>
        <w:tc>
          <w:tcPr>
            <w:tcW w:w="29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Net Interest Income</w:t>
            </w:r>
          </w:p>
        </w:tc>
        <w:tc>
          <w:tcPr>
            <w:tcW w:w="12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25,721</w:t>
            </w:r>
          </w:p>
        </w:tc>
        <w:tc>
          <w:tcPr>
            <w:tcW w:w="100" w:type="dxa"/>
            <w:vAlign w:val="bottom"/>
            <w:tcBorders>
              <w:bottom w:val="single" w:sz="8" w:color="CCEEFF"/>
            </w:tcBorders>
            <w:shd w:val="clear" w:color="auto" w:fill="CCEEFF"/>
          </w:tcPr>
          <w:p>
            <w:pPr>
              <w:spacing w:after="0"/>
              <w:rPr>
                <w:sz w:val="18"/>
                <w:szCs w:val="18"/>
                <w:color w:val="auto"/>
              </w:rPr>
            </w:pPr>
          </w:p>
        </w:tc>
        <w:tc>
          <w:tcPr>
            <w:tcW w:w="300" w:type="dxa"/>
            <w:vAlign w:val="bottom"/>
            <w:tcBorders>
              <w:bottom w:val="single" w:sz="8" w:color="CCEEFF"/>
            </w:tcBorders>
            <w:shd w:val="clear" w:color="auto" w:fill="CCEEFF"/>
          </w:tcPr>
          <w:p>
            <w:pPr>
              <w:spacing w:after="0"/>
              <w:rPr>
                <w:sz w:val="18"/>
                <w:szCs w:val="18"/>
                <w:color w:val="auto"/>
              </w:rPr>
            </w:pPr>
          </w:p>
        </w:tc>
        <w:tc>
          <w:tcPr>
            <w:tcW w:w="8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24,810</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18,895</w:t>
            </w:r>
          </w:p>
        </w:tc>
        <w:tc>
          <w:tcPr>
            <w:tcW w:w="80" w:type="dxa"/>
            <w:vAlign w:val="bottom"/>
            <w:tcBorders>
              <w:bottom w:val="single" w:sz="8" w:color="CCEEFF"/>
            </w:tcBorders>
            <w:shd w:val="clear" w:color="auto" w:fill="CCEEFF"/>
          </w:tcPr>
          <w:p>
            <w:pPr>
              <w:spacing w:after="0"/>
              <w:rPr>
                <w:sz w:val="18"/>
                <w:szCs w:val="18"/>
                <w:color w:val="auto"/>
              </w:rPr>
            </w:pPr>
          </w:p>
        </w:tc>
        <w:tc>
          <w:tcPr>
            <w:tcW w:w="18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911</w:t>
            </w:r>
          </w:p>
        </w:tc>
        <w:tc>
          <w:tcPr>
            <w:tcW w:w="10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6,826</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36</w:t>
            </w:r>
          </w:p>
        </w:tc>
        <w:tc>
          <w:tcPr>
            <w:tcW w:w="0" w:type="dxa"/>
            <w:vAlign w:val="bottom"/>
          </w:tcPr>
          <w:p>
            <w:pPr>
              <w:spacing w:after="0"/>
              <w:rPr>
                <w:sz w:val="1"/>
                <w:szCs w:val="1"/>
                <w:color w:val="auto"/>
              </w:rPr>
            </w:pPr>
          </w:p>
        </w:tc>
      </w:tr>
      <w:tr>
        <w:trPr>
          <w:trHeight w:val="209"/>
        </w:trPr>
        <w:tc>
          <w:tcPr>
            <w:tcW w:w="29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Other income (expense):</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Fees and commissions, net</w:t>
            </w:r>
          </w:p>
        </w:tc>
        <w:tc>
          <w:tcPr>
            <w:tcW w:w="120" w:type="dxa"/>
            <w:vAlign w:val="bottom"/>
          </w:tcPr>
          <w:p>
            <w:pPr>
              <w:spacing w:after="0"/>
              <w:rPr>
                <w:sz w:val="16"/>
                <w:szCs w:val="16"/>
                <w:color w:val="auto"/>
              </w:rPr>
            </w:pPr>
          </w:p>
        </w:tc>
        <w:tc>
          <w:tcPr>
            <w:tcW w:w="1060" w:type="dxa"/>
            <w:vAlign w:val="bottom"/>
          </w:tcPr>
          <w:p>
            <w:pPr>
              <w:jc w:val="right"/>
              <w:ind w:right="106"/>
              <w:spacing w:after="0"/>
              <w:rPr>
                <w:sz w:val="20"/>
                <w:szCs w:val="20"/>
                <w:color w:val="auto"/>
              </w:rPr>
            </w:pPr>
            <w:r>
              <w:rPr>
                <w:rFonts w:ascii="Times New Roman" w:cs="Times New Roman" w:eastAsia="Times New Roman" w:hAnsi="Times New Roman"/>
                <w:sz w:val="14"/>
                <w:szCs w:val="14"/>
                <w:color w:val="auto"/>
              </w:rPr>
              <w:t>3,949</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6,235</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3,040</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(2,286)</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(37)</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909</w:t>
            </w: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4"/>
                <w:szCs w:val="14"/>
                <w:color w:val="auto"/>
              </w:rPr>
              <w:t>30</w:t>
            </w: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Gain (loss) on financial instruments, net</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566</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(1,347)</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(71)</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1,913</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142</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637</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897</w:t>
            </w: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Other income, net</w:t>
            </w:r>
          </w:p>
        </w:tc>
        <w:tc>
          <w:tcPr>
            <w:tcW w:w="120" w:type="dxa"/>
            <w:vAlign w:val="bottom"/>
          </w:tcPr>
          <w:p>
            <w:pPr>
              <w:spacing w:after="0"/>
              <w:rPr>
                <w:sz w:val="16"/>
                <w:szCs w:val="16"/>
                <w:color w:val="auto"/>
              </w:rPr>
            </w:pPr>
          </w:p>
        </w:tc>
        <w:tc>
          <w:tcPr>
            <w:tcW w:w="1060" w:type="dxa"/>
            <w:vAlign w:val="bottom"/>
          </w:tcPr>
          <w:p>
            <w:pPr>
              <w:jc w:val="right"/>
              <w:ind w:right="106"/>
              <w:spacing w:after="0"/>
              <w:rPr>
                <w:sz w:val="20"/>
                <w:szCs w:val="20"/>
                <w:color w:val="auto"/>
              </w:rPr>
            </w:pPr>
            <w:r>
              <w:rPr>
                <w:rFonts w:ascii="Times New Roman" w:cs="Times New Roman" w:eastAsia="Times New Roman" w:hAnsi="Times New Roman"/>
                <w:sz w:val="14"/>
                <w:szCs w:val="14"/>
                <w:color w:val="auto"/>
              </w:rPr>
              <w:t>16</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127</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97</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(111)</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(87)</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(81)</w:t>
            </w: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4"/>
                <w:szCs w:val="14"/>
                <w:color w:val="auto"/>
              </w:rPr>
              <w:t>(84)</w:t>
            </w:r>
          </w:p>
        </w:tc>
        <w:tc>
          <w:tcPr>
            <w:tcW w:w="0" w:type="dxa"/>
            <w:vAlign w:val="bottom"/>
          </w:tcPr>
          <w:p>
            <w:pPr>
              <w:spacing w:after="0"/>
              <w:rPr>
                <w:sz w:val="1"/>
                <w:szCs w:val="1"/>
                <w:color w:val="auto"/>
              </w:rPr>
            </w:pPr>
          </w:p>
        </w:tc>
      </w:tr>
      <w:tr>
        <w:trPr>
          <w:trHeight w:val="23"/>
        </w:trPr>
        <w:tc>
          <w:tcPr>
            <w:tcW w:w="29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2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209"/>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other income, net</w:t>
            </w:r>
          </w:p>
        </w:tc>
        <w:tc>
          <w:tcPr>
            <w:tcW w:w="12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4,531</w:t>
            </w:r>
          </w:p>
        </w:tc>
        <w:tc>
          <w:tcPr>
            <w:tcW w:w="100" w:type="dxa"/>
            <w:vAlign w:val="bottom"/>
            <w:tcBorders>
              <w:bottom w:val="single" w:sz="8" w:color="CCEEFF"/>
            </w:tcBorders>
            <w:shd w:val="clear" w:color="auto" w:fill="CCEEFF"/>
          </w:tcPr>
          <w:p>
            <w:pPr>
              <w:spacing w:after="0"/>
              <w:rPr>
                <w:sz w:val="18"/>
                <w:szCs w:val="18"/>
                <w:color w:val="auto"/>
              </w:rPr>
            </w:pPr>
          </w:p>
        </w:tc>
        <w:tc>
          <w:tcPr>
            <w:tcW w:w="300" w:type="dxa"/>
            <w:vAlign w:val="bottom"/>
            <w:tcBorders>
              <w:bottom w:val="single" w:sz="8" w:color="CCEEFF"/>
            </w:tcBorders>
            <w:shd w:val="clear" w:color="auto" w:fill="CCEEFF"/>
          </w:tcPr>
          <w:p>
            <w:pPr>
              <w:spacing w:after="0"/>
              <w:rPr>
                <w:sz w:val="18"/>
                <w:szCs w:val="18"/>
                <w:color w:val="auto"/>
              </w:rPr>
            </w:pPr>
          </w:p>
        </w:tc>
        <w:tc>
          <w:tcPr>
            <w:tcW w:w="8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5,015</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3,066</w:t>
            </w:r>
          </w:p>
        </w:tc>
        <w:tc>
          <w:tcPr>
            <w:tcW w:w="80" w:type="dxa"/>
            <w:vAlign w:val="bottom"/>
            <w:tcBorders>
              <w:bottom w:val="single" w:sz="8" w:color="CCEEFF"/>
            </w:tcBorders>
            <w:shd w:val="clear" w:color="auto" w:fill="CCEEFF"/>
          </w:tcPr>
          <w:p>
            <w:pPr>
              <w:spacing w:after="0"/>
              <w:rPr>
                <w:sz w:val="18"/>
                <w:szCs w:val="18"/>
                <w:color w:val="auto"/>
              </w:rPr>
            </w:pPr>
          </w:p>
        </w:tc>
        <w:tc>
          <w:tcPr>
            <w:tcW w:w="18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(484)</w:t>
            </w:r>
          </w:p>
        </w:tc>
        <w:tc>
          <w:tcPr>
            <w:tcW w:w="10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1,465</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48</w:t>
            </w:r>
          </w:p>
        </w:tc>
        <w:tc>
          <w:tcPr>
            <w:tcW w:w="0" w:type="dxa"/>
            <w:vAlign w:val="bottom"/>
          </w:tcPr>
          <w:p>
            <w:pPr>
              <w:spacing w:after="0"/>
              <w:rPr>
                <w:sz w:val="1"/>
                <w:szCs w:val="1"/>
                <w:color w:val="auto"/>
              </w:rPr>
            </w:pPr>
          </w:p>
        </w:tc>
      </w:tr>
      <w:tr>
        <w:trPr>
          <w:trHeight w:val="210"/>
        </w:trPr>
        <w:tc>
          <w:tcPr>
            <w:tcW w:w="29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Total revenues</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30,252</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29,825</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21,961</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427</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8,291</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38</w:t>
            </w:r>
          </w:p>
        </w:tc>
        <w:tc>
          <w:tcPr>
            <w:tcW w:w="0" w:type="dxa"/>
            <w:vAlign w:val="bottom"/>
          </w:tcPr>
          <w:p>
            <w:pPr>
              <w:spacing w:after="0"/>
              <w:rPr>
                <w:sz w:val="1"/>
                <w:szCs w:val="1"/>
                <w:color w:val="auto"/>
              </w:rPr>
            </w:pPr>
          </w:p>
        </w:tc>
      </w:tr>
      <w:tr>
        <w:trPr>
          <w:trHeight w:val="216"/>
        </w:trPr>
        <w:tc>
          <w:tcPr>
            <w:tcW w:w="2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Provision for credit losses</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66"/>
              <w:spacing w:after="0"/>
              <w:rPr>
                <w:sz w:val="20"/>
                <w:szCs w:val="20"/>
                <w:color w:val="auto"/>
              </w:rPr>
            </w:pPr>
            <w:r>
              <w:rPr>
                <w:rFonts w:ascii="Times New Roman" w:cs="Times New Roman" w:eastAsia="Times New Roman" w:hAnsi="Times New Roman"/>
                <w:sz w:val="14"/>
                <w:szCs w:val="14"/>
                <w:color w:val="auto"/>
              </w:rPr>
              <w:t>(8,111)</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(173)</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0</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(7,938)</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(4,588)</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(8,111)</w:t>
            </w: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n.m.</w:t>
            </w: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Gain on non-financial assets, net</w:t>
            </w:r>
          </w:p>
        </w:tc>
        <w:tc>
          <w:tcPr>
            <w:tcW w:w="120" w:type="dxa"/>
            <w:vAlign w:val="bottom"/>
          </w:tcPr>
          <w:p>
            <w:pPr>
              <w:spacing w:after="0"/>
              <w:rPr>
                <w:sz w:val="16"/>
                <w:szCs w:val="16"/>
                <w:color w:val="auto"/>
              </w:rPr>
            </w:pPr>
          </w:p>
        </w:tc>
        <w:tc>
          <w:tcPr>
            <w:tcW w:w="1060" w:type="dxa"/>
            <w:vAlign w:val="bottom"/>
          </w:tcPr>
          <w:p>
            <w:pPr>
              <w:jc w:val="right"/>
              <w:ind w:right="106"/>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742</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0</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(742)</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n.m.</w:t>
            </w: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b w:val="1"/>
                <w:bCs w:val="1"/>
                <w:color w:val="auto"/>
              </w:rPr>
              <w:t>Operating expenses:</w:t>
            </w:r>
          </w:p>
        </w:tc>
        <w:tc>
          <w:tcPr>
            <w:tcW w:w="1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Salaries and other employee expenses</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66"/>
              <w:spacing w:after="0"/>
              <w:rPr>
                <w:sz w:val="20"/>
                <w:szCs w:val="20"/>
                <w:color w:val="auto"/>
              </w:rPr>
            </w:pPr>
            <w:r>
              <w:rPr>
                <w:rFonts w:ascii="Times New Roman" w:cs="Times New Roman" w:eastAsia="Times New Roman" w:hAnsi="Times New Roman"/>
                <w:sz w:val="14"/>
                <w:szCs w:val="14"/>
                <w:color w:val="auto"/>
              </w:rPr>
              <w:t>(7,445)</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(4,888)</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(5,448)</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(2,557)</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(52)</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(1,997)</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(37)</w:t>
            </w:r>
          </w:p>
        </w:tc>
        <w:tc>
          <w:tcPr>
            <w:tcW w:w="0" w:type="dxa"/>
            <w:vAlign w:val="bottom"/>
          </w:tcPr>
          <w:p>
            <w:pPr>
              <w:spacing w:after="0"/>
              <w:rPr>
                <w:sz w:val="1"/>
                <w:szCs w:val="1"/>
                <w:color w:val="auto"/>
              </w:rPr>
            </w:pPr>
          </w:p>
        </w:tc>
      </w:tr>
      <w:tr>
        <w:trPr>
          <w:trHeight w:val="166"/>
        </w:trPr>
        <w:tc>
          <w:tcPr>
            <w:tcW w:w="298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Depreciation of investment properties,</w:t>
            </w:r>
          </w:p>
        </w:tc>
        <w:tc>
          <w:tcPr>
            <w:tcW w:w="12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8"/>
        </w:trPr>
        <w:tc>
          <w:tcPr>
            <w:tcW w:w="298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equipment and improvements</w:t>
            </w:r>
          </w:p>
        </w:tc>
        <w:tc>
          <w:tcPr>
            <w:tcW w:w="120" w:type="dxa"/>
            <w:vAlign w:val="bottom"/>
          </w:tcPr>
          <w:p>
            <w:pPr>
              <w:spacing w:after="0"/>
              <w:rPr>
                <w:sz w:val="16"/>
                <w:szCs w:val="16"/>
                <w:color w:val="auto"/>
              </w:rPr>
            </w:pPr>
          </w:p>
        </w:tc>
        <w:tc>
          <w:tcPr>
            <w:tcW w:w="1060" w:type="dxa"/>
            <w:vAlign w:val="bottom"/>
          </w:tcPr>
          <w:p>
            <w:pPr>
              <w:jc w:val="right"/>
              <w:ind w:right="66"/>
              <w:spacing w:after="0"/>
              <w:rPr>
                <w:sz w:val="20"/>
                <w:szCs w:val="20"/>
                <w:color w:val="auto"/>
              </w:rPr>
            </w:pPr>
            <w:r>
              <w:rPr>
                <w:rFonts w:ascii="Times New Roman" w:cs="Times New Roman" w:eastAsia="Times New Roman" w:hAnsi="Times New Roman"/>
                <w:sz w:val="14"/>
                <w:szCs w:val="14"/>
                <w:color w:val="auto"/>
              </w:rPr>
              <w:t>(533)</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(617)</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(819)</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84</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286</w:t>
            </w: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4"/>
                <w:szCs w:val="14"/>
                <w:color w:val="auto"/>
              </w:rPr>
              <w:t>35</w:t>
            </w: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Amortization of intangible assets</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66"/>
              <w:spacing w:after="0"/>
              <w:rPr>
                <w:sz w:val="20"/>
                <w:szCs w:val="20"/>
                <w:color w:val="auto"/>
              </w:rPr>
            </w:pPr>
            <w:r>
              <w:rPr>
                <w:rFonts w:ascii="Times New Roman" w:cs="Times New Roman" w:eastAsia="Times New Roman" w:hAnsi="Times New Roman"/>
                <w:sz w:val="14"/>
                <w:szCs w:val="14"/>
                <w:color w:val="auto"/>
              </w:rPr>
              <w:t>(124)</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(119)</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(271)</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147</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54</w:t>
            </w:r>
          </w:p>
        </w:tc>
        <w:tc>
          <w:tcPr>
            <w:tcW w:w="0" w:type="dxa"/>
            <w:vAlign w:val="bottom"/>
          </w:tcPr>
          <w:p>
            <w:pPr>
              <w:spacing w:after="0"/>
              <w:rPr>
                <w:sz w:val="1"/>
                <w:szCs w:val="1"/>
                <w:color w:val="auto"/>
              </w:rPr>
            </w:pPr>
          </w:p>
        </w:tc>
      </w:tr>
      <w:tr>
        <w:trPr>
          <w:trHeight w:val="193"/>
        </w:trPr>
        <w:tc>
          <w:tcPr>
            <w:tcW w:w="298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Other expenses</w:t>
            </w:r>
          </w:p>
        </w:tc>
        <w:tc>
          <w:tcPr>
            <w:tcW w:w="120" w:type="dxa"/>
            <w:vAlign w:val="bottom"/>
          </w:tcPr>
          <w:p>
            <w:pPr>
              <w:spacing w:after="0"/>
              <w:rPr>
                <w:sz w:val="16"/>
                <w:szCs w:val="16"/>
                <w:color w:val="auto"/>
              </w:rPr>
            </w:pPr>
          </w:p>
        </w:tc>
        <w:tc>
          <w:tcPr>
            <w:tcW w:w="1060" w:type="dxa"/>
            <w:vAlign w:val="bottom"/>
          </w:tcPr>
          <w:p>
            <w:pPr>
              <w:jc w:val="right"/>
              <w:ind w:right="66"/>
              <w:spacing w:after="0"/>
              <w:rPr>
                <w:sz w:val="20"/>
                <w:szCs w:val="20"/>
                <w:color w:val="auto"/>
              </w:rPr>
            </w:pPr>
            <w:r>
              <w:rPr>
                <w:rFonts w:ascii="Times New Roman" w:cs="Times New Roman" w:eastAsia="Times New Roman" w:hAnsi="Times New Roman"/>
                <w:sz w:val="14"/>
                <w:szCs w:val="14"/>
                <w:color w:val="auto"/>
              </w:rPr>
              <w:t>(2,920)</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ind w:right="68"/>
              <w:spacing w:after="0"/>
              <w:rPr>
                <w:sz w:val="20"/>
                <w:szCs w:val="20"/>
                <w:color w:val="auto"/>
              </w:rPr>
            </w:pPr>
            <w:r>
              <w:rPr>
                <w:rFonts w:ascii="Times New Roman" w:cs="Times New Roman" w:eastAsia="Times New Roman" w:hAnsi="Times New Roman"/>
                <w:sz w:val="14"/>
                <w:szCs w:val="14"/>
                <w:color w:val="auto"/>
              </w:rPr>
              <w:t>(4,704)</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88"/>
              <w:spacing w:after="0"/>
              <w:rPr>
                <w:sz w:val="20"/>
                <w:szCs w:val="20"/>
                <w:color w:val="auto"/>
              </w:rPr>
            </w:pPr>
            <w:r>
              <w:rPr>
                <w:rFonts w:ascii="Times New Roman" w:cs="Times New Roman" w:eastAsia="Times New Roman" w:hAnsi="Times New Roman"/>
                <w:sz w:val="14"/>
                <w:szCs w:val="14"/>
                <w:color w:val="auto"/>
              </w:rPr>
              <w:t>(2,607)</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1,784</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38</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(313)</w:t>
            </w: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4"/>
                <w:szCs w:val="14"/>
                <w:color w:val="auto"/>
              </w:rPr>
              <w:t>(12)</w:t>
            </w:r>
          </w:p>
        </w:tc>
        <w:tc>
          <w:tcPr>
            <w:tcW w:w="0" w:type="dxa"/>
            <w:vAlign w:val="bottom"/>
          </w:tcPr>
          <w:p>
            <w:pPr>
              <w:spacing w:after="0"/>
              <w:rPr>
                <w:sz w:val="1"/>
                <w:szCs w:val="1"/>
                <w:color w:val="auto"/>
              </w:rPr>
            </w:pPr>
          </w:p>
        </w:tc>
      </w:tr>
      <w:tr>
        <w:trPr>
          <w:trHeight w:val="23"/>
        </w:trPr>
        <w:tc>
          <w:tcPr>
            <w:tcW w:w="298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30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8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2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9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210"/>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Total operating expenses</w:t>
            </w:r>
          </w:p>
        </w:tc>
        <w:tc>
          <w:tcPr>
            <w:tcW w:w="12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shd w:val="clear" w:color="auto" w:fill="CCEEFF"/>
          </w:tcPr>
          <w:p>
            <w:pPr>
              <w:jc w:val="right"/>
              <w:ind w:right="66"/>
              <w:spacing w:after="0"/>
              <w:rPr>
                <w:sz w:val="20"/>
                <w:szCs w:val="20"/>
                <w:color w:val="auto"/>
              </w:rPr>
            </w:pPr>
            <w:r>
              <w:rPr>
                <w:rFonts w:ascii="Times New Roman" w:cs="Times New Roman" w:eastAsia="Times New Roman" w:hAnsi="Times New Roman"/>
                <w:sz w:val="14"/>
                <w:szCs w:val="14"/>
                <w:color w:val="auto"/>
              </w:rPr>
              <w:t>(11,022)</w:t>
            </w:r>
          </w:p>
        </w:tc>
        <w:tc>
          <w:tcPr>
            <w:tcW w:w="100" w:type="dxa"/>
            <w:vAlign w:val="bottom"/>
            <w:tcBorders>
              <w:bottom w:val="single" w:sz="8" w:color="CCEEFF"/>
            </w:tcBorders>
            <w:shd w:val="clear" w:color="auto" w:fill="CCEEFF"/>
          </w:tcPr>
          <w:p>
            <w:pPr>
              <w:spacing w:after="0"/>
              <w:rPr>
                <w:sz w:val="18"/>
                <w:szCs w:val="18"/>
                <w:color w:val="auto"/>
              </w:rPr>
            </w:pPr>
          </w:p>
        </w:tc>
        <w:tc>
          <w:tcPr>
            <w:tcW w:w="300" w:type="dxa"/>
            <w:vAlign w:val="bottom"/>
            <w:tcBorders>
              <w:bottom w:val="single" w:sz="8" w:color="CCEEFF"/>
            </w:tcBorders>
            <w:shd w:val="clear" w:color="auto" w:fill="CCEEFF"/>
          </w:tcPr>
          <w:p>
            <w:pPr>
              <w:spacing w:after="0"/>
              <w:rPr>
                <w:sz w:val="18"/>
                <w:szCs w:val="18"/>
                <w:color w:val="auto"/>
              </w:rPr>
            </w:pPr>
          </w:p>
        </w:tc>
        <w:tc>
          <w:tcPr>
            <w:tcW w:w="880" w:type="dxa"/>
            <w:vAlign w:val="bottom"/>
            <w:tcBorders>
              <w:bottom w:val="single" w:sz="8" w:color="CCEEFF"/>
            </w:tcBorders>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(10,328)</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shd w:val="clear" w:color="auto" w:fill="CCEEFF"/>
          </w:tcPr>
          <w:p>
            <w:pPr>
              <w:jc w:val="right"/>
              <w:ind w:right="88"/>
              <w:spacing w:after="0"/>
              <w:rPr>
                <w:sz w:val="20"/>
                <w:szCs w:val="20"/>
                <w:color w:val="auto"/>
              </w:rPr>
            </w:pPr>
            <w:r>
              <w:rPr>
                <w:rFonts w:ascii="Times New Roman" w:cs="Times New Roman" w:eastAsia="Times New Roman" w:hAnsi="Times New Roman"/>
                <w:sz w:val="14"/>
                <w:szCs w:val="14"/>
                <w:color w:val="auto"/>
              </w:rPr>
              <w:t>(9,145)</w:t>
            </w:r>
          </w:p>
        </w:tc>
        <w:tc>
          <w:tcPr>
            <w:tcW w:w="80" w:type="dxa"/>
            <w:vAlign w:val="bottom"/>
            <w:tcBorders>
              <w:bottom w:val="single" w:sz="8" w:color="CCEEFF"/>
            </w:tcBorders>
            <w:shd w:val="clear" w:color="auto" w:fill="CCEEFF"/>
          </w:tcPr>
          <w:p>
            <w:pPr>
              <w:spacing w:after="0"/>
              <w:rPr>
                <w:sz w:val="18"/>
                <w:szCs w:val="18"/>
                <w:color w:val="auto"/>
              </w:rPr>
            </w:pPr>
          </w:p>
        </w:tc>
        <w:tc>
          <w:tcPr>
            <w:tcW w:w="18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(694)</w:t>
            </w:r>
          </w:p>
        </w:tc>
        <w:tc>
          <w:tcPr>
            <w:tcW w:w="10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10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CCEEFF"/>
            </w:tcBorders>
            <w:shd w:val="clear" w:color="auto" w:fill="CCEEFF"/>
          </w:tcPr>
          <w:p>
            <w:pPr>
              <w:spacing w:after="0"/>
              <w:rPr>
                <w:sz w:val="18"/>
                <w:szCs w:val="18"/>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(1,877)</w:t>
            </w:r>
          </w:p>
        </w:tc>
        <w:tc>
          <w:tcPr>
            <w:tcW w:w="10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w:t>
            </w:r>
          </w:p>
        </w:tc>
        <w:tc>
          <w:tcPr>
            <w:tcW w:w="0" w:type="dxa"/>
            <w:vAlign w:val="bottom"/>
          </w:tcPr>
          <w:p>
            <w:pPr>
              <w:spacing w:after="0"/>
              <w:rPr>
                <w:sz w:val="1"/>
                <w:szCs w:val="1"/>
                <w:color w:val="auto"/>
              </w:rPr>
            </w:pPr>
          </w:p>
        </w:tc>
      </w:tr>
      <w:tr>
        <w:trPr>
          <w:trHeight w:val="209"/>
        </w:trPr>
        <w:tc>
          <w:tcPr>
            <w:tcW w:w="29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2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Profit for the period</w:t>
            </w: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1060" w:type="dxa"/>
            <w:vAlign w:val="bottom"/>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11,119</w:t>
            </w:r>
          </w:p>
        </w:tc>
        <w:tc>
          <w:tcPr>
            <w:tcW w:w="100" w:type="dxa"/>
            <w:vAlign w:val="bottom"/>
            <w:shd w:val="clear" w:color="auto" w:fill="CCEEFF"/>
          </w:tcPr>
          <w:p>
            <w:pPr>
              <w:spacing w:after="0"/>
              <w:rPr>
                <w:sz w:val="20"/>
                <w:szCs w:val="20"/>
                <w:color w:val="auto"/>
              </w:rPr>
            </w:pPr>
          </w:p>
        </w:tc>
        <w:tc>
          <w:tcPr>
            <w:tcW w:w="3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w:t>
            </w:r>
          </w:p>
        </w:tc>
        <w:tc>
          <w:tcPr>
            <w:tcW w:w="880" w:type="dxa"/>
            <w:vAlign w:val="bottom"/>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20,066</w:t>
            </w: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12,816</w:t>
            </w:r>
          </w:p>
        </w:tc>
        <w:tc>
          <w:tcPr>
            <w:tcW w:w="80" w:type="dxa"/>
            <w:vAlign w:val="bottom"/>
            <w:shd w:val="clear" w:color="auto" w:fill="CCEEFF"/>
          </w:tcPr>
          <w:p>
            <w:pPr>
              <w:spacing w:after="0"/>
              <w:rPr>
                <w:sz w:val="20"/>
                <w:szCs w:val="20"/>
                <w:color w:val="auto"/>
              </w:rPr>
            </w:pPr>
          </w:p>
        </w:tc>
        <w:tc>
          <w:tcPr>
            <w:tcW w:w="18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(8,947)</w:t>
            </w:r>
          </w:p>
        </w:tc>
        <w:tc>
          <w:tcPr>
            <w:tcW w:w="1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w:t>
            </w: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w w:val="85"/>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(1,697)</w:t>
            </w:r>
          </w:p>
        </w:tc>
        <w:tc>
          <w:tcPr>
            <w:tcW w:w="108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w:t>
            </w:r>
          </w:p>
        </w:tc>
        <w:tc>
          <w:tcPr>
            <w:tcW w:w="0" w:type="dxa"/>
            <w:vAlign w:val="bottom"/>
          </w:tcPr>
          <w:p>
            <w:pPr>
              <w:spacing w:after="0"/>
              <w:rPr>
                <w:sz w:val="1"/>
                <w:szCs w:val="1"/>
                <w:color w:val="auto"/>
              </w:rPr>
            </w:pPr>
          </w:p>
        </w:tc>
      </w:tr>
      <w:tr>
        <w:trPr>
          <w:trHeight w:val="20"/>
        </w:trPr>
        <w:tc>
          <w:tcPr>
            <w:tcW w:w="29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0"/>
        </w:trPr>
        <w:tc>
          <w:tcPr>
            <w:tcW w:w="29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PER COMMON SHARE DATA:</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Basic earnings per share</w:t>
            </w: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1060" w:type="dxa"/>
            <w:vAlign w:val="bottom"/>
          </w:tcPr>
          <w:p>
            <w:pPr>
              <w:jc w:val="right"/>
              <w:ind w:right="106"/>
              <w:spacing w:after="0"/>
              <w:rPr>
                <w:sz w:val="20"/>
                <w:szCs w:val="20"/>
                <w:color w:val="auto"/>
              </w:rPr>
            </w:pPr>
            <w:r>
              <w:rPr>
                <w:rFonts w:ascii="Times New Roman" w:cs="Times New Roman" w:eastAsia="Times New Roman" w:hAnsi="Times New Roman"/>
                <w:sz w:val="14"/>
                <w:szCs w:val="14"/>
                <w:color w:val="auto"/>
              </w:rPr>
              <w:t>0.31</w:t>
            </w:r>
          </w:p>
        </w:tc>
        <w:tc>
          <w:tcPr>
            <w:tcW w:w="100" w:type="dxa"/>
            <w:vAlign w:val="bottom"/>
          </w:tcPr>
          <w:p>
            <w:pPr>
              <w:spacing w:after="0"/>
              <w:rPr>
                <w:sz w:val="16"/>
                <w:szCs w:val="16"/>
                <w:color w:val="auto"/>
              </w:rPr>
            </w:pPr>
          </w:p>
        </w:tc>
        <w:tc>
          <w:tcPr>
            <w:tcW w:w="3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w:t>
            </w:r>
          </w:p>
        </w:tc>
        <w:tc>
          <w:tcPr>
            <w:tcW w:w="8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0.54</w:t>
            </w:r>
          </w:p>
        </w:tc>
        <w:tc>
          <w:tcPr>
            <w:tcW w:w="10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0.32</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Diluted earnings per share</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0.31</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w:t>
            </w:r>
          </w:p>
        </w:tc>
        <w:tc>
          <w:tcPr>
            <w:tcW w:w="8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0.54</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0.32</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Book value (period average)</w:t>
            </w: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1060" w:type="dxa"/>
            <w:vAlign w:val="bottom"/>
          </w:tcPr>
          <w:p>
            <w:pPr>
              <w:jc w:val="right"/>
              <w:ind w:right="106"/>
              <w:spacing w:after="0"/>
              <w:rPr>
                <w:sz w:val="20"/>
                <w:szCs w:val="20"/>
                <w:color w:val="auto"/>
              </w:rPr>
            </w:pPr>
            <w:r>
              <w:rPr>
                <w:rFonts w:ascii="Times New Roman" w:cs="Times New Roman" w:eastAsia="Times New Roman" w:hAnsi="Times New Roman"/>
                <w:sz w:val="14"/>
                <w:szCs w:val="14"/>
                <w:color w:val="auto"/>
              </w:rPr>
              <w:t>27.72</w:t>
            </w:r>
          </w:p>
        </w:tc>
        <w:tc>
          <w:tcPr>
            <w:tcW w:w="100" w:type="dxa"/>
            <w:vAlign w:val="bottom"/>
          </w:tcPr>
          <w:p>
            <w:pPr>
              <w:spacing w:after="0"/>
              <w:rPr>
                <w:sz w:val="16"/>
                <w:szCs w:val="16"/>
                <w:color w:val="auto"/>
              </w:rPr>
            </w:pPr>
          </w:p>
        </w:tc>
        <w:tc>
          <w:tcPr>
            <w:tcW w:w="3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w:t>
            </w:r>
          </w:p>
        </w:tc>
        <w:tc>
          <w:tcPr>
            <w:tcW w:w="8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27.05</w:t>
            </w:r>
          </w:p>
        </w:tc>
        <w:tc>
          <w:tcPr>
            <w:tcW w:w="10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26.26</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Book value (period end)</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27.70</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w:t>
            </w:r>
          </w:p>
        </w:tc>
        <w:tc>
          <w:tcPr>
            <w:tcW w:w="8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27.37</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26.11</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Weighted average basic shares</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36,249</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37,073</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39,693</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Weighted average diluted shares</w:t>
            </w:r>
          </w:p>
        </w:tc>
        <w:tc>
          <w:tcPr>
            <w:tcW w:w="120" w:type="dxa"/>
            <w:vAlign w:val="bottom"/>
          </w:tcPr>
          <w:p>
            <w:pPr>
              <w:spacing w:after="0"/>
              <w:rPr>
                <w:sz w:val="16"/>
                <w:szCs w:val="16"/>
                <w:color w:val="auto"/>
              </w:rPr>
            </w:pPr>
          </w:p>
        </w:tc>
        <w:tc>
          <w:tcPr>
            <w:tcW w:w="1060" w:type="dxa"/>
            <w:vAlign w:val="bottom"/>
          </w:tcPr>
          <w:p>
            <w:pPr>
              <w:jc w:val="right"/>
              <w:ind w:right="106"/>
              <w:spacing w:after="0"/>
              <w:rPr>
                <w:sz w:val="20"/>
                <w:szCs w:val="20"/>
                <w:color w:val="auto"/>
              </w:rPr>
            </w:pPr>
            <w:r>
              <w:rPr>
                <w:rFonts w:ascii="Times New Roman" w:cs="Times New Roman" w:eastAsia="Times New Roman" w:hAnsi="Times New Roman"/>
                <w:sz w:val="14"/>
                <w:szCs w:val="14"/>
                <w:color w:val="auto"/>
              </w:rPr>
              <w:t>36,249</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ind w:right="108"/>
              <w:spacing w:after="0"/>
              <w:rPr>
                <w:sz w:val="20"/>
                <w:szCs w:val="20"/>
                <w:color w:val="auto"/>
              </w:rPr>
            </w:pPr>
            <w:r>
              <w:rPr>
                <w:rFonts w:ascii="Times New Roman" w:cs="Times New Roman" w:eastAsia="Times New Roman" w:hAnsi="Times New Roman"/>
                <w:sz w:val="14"/>
                <w:szCs w:val="14"/>
                <w:color w:val="auto"/>
              </w:rPr>
              <w:t>37,073</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ind w:right="128"/>
              <w:spacing w:after="0"/>
              <w:rPr>
                <w:sz w:val="20"/>
                <w:szCs w:val="20"/>
                <w:color w:val="auto"/>
              </w:rPr>
            </w:pPr>
            <w:r>
              <w:rPr>
                <w:rFonts w:ascii="Times New Roman" w:cs="Times New Roman" w:eastAsia="Times New Roman" w:hAnsi="Times New Roman"/>
                <w:sz w:val="14"/>
                <w:szCs w:val="14"/>
                <w:color w:val="auto"/>
              </w:rPr>
              <w:t>39,693</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Basic shares period end</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ind w:right="106"/>
              <w:spacing w:after="0"/>
              <w:rPr>
                <w:sz w:val="20"/>
                <w:szCs w:val="20"/>
                <w:color w:val="auto"/>
              </w:rPr>
            </w:pPr>
            <w:r>
              <w:rPr>
                <w:rFonts w:ascii="Times New Roman" w:cs="Times New Roman" w:eastAsia="Times New Roman" w:hAnsi="Times New Roman"/>
                <w:sz w:val="14"/>
                <w:szCs w:val="14"/>
                <w:color w:val="auto"/>
              </w:rPr>
              <w:t>36,268</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ind w:right="108"/>
              <w:spacing w:after="0"/>
              <w:rPr>
                <w:sz w:val="20"/>
                <w:szCs w:val="20"/>
                <w:color w:val="auto"/>
              </w:rPr>
            </w:pPr>
            <w:r>
              <w:rPr>
                <w:rFonts w:ascii="Times New Roman" w:cs="Times New Roman" w:eastAsia="Times New Roman" w:hAnsi="Times New Roman"/>
                <w:sz w:val="14"/>
                <w:szCs w:val="14"/>
                <w:color w:val="auto"/>
              </w:rPr>
              <w:t>36,231</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ind w:right="128"/>
              <w:spacing w:after="0"/>
              <w:rPr>
                <w:sz w:val="20"/>
                <w:szCs w:val="20"/>
                <w:color w:val="auto"/>
              </w:rPr>
            </w:pPr>
            <w:r>
              <w:rPr>
                <w:rFonts w:ascii="Times New Roman" w:cs="Times New Roman" w:eastAsia="Times New Roman" w:hAnsi="Times New Roman"/>
                <w:sz w:val="14"/>
                <w:szCs w:val="14"/>
                <w:color w:val="auto"/>
              </w:rPr>
              <w:t>39,703</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PERFORMANCE RATIOS:</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Return on average assets</w:t>
            </w:r>
          </w:p>
        </w:tc>
        <w:tc>
          <w:tcPr>
            <w:tcW w:w="12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0.6 %</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1.1 %</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0.8 %</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Return on average equity</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4.5 %</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7.9 %</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5.0 %</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2"/>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Net interest margin</w:t>
            </w:r>
          </w:p>
        </w:tc>
        <w:tc>
          <w:tcPr>
            <w:tcW w:w="12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1.42 %</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1.24 %</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9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spread</w:t>
            </w:r>
          </w:p>
        </w:tc>
        <w:tc>
          <w:tcPr>
            <w:tcW w:w="12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1.15 %</w:t>
            </w:r>
          </w:p>
        </w:tc>
        <w:tc>
          <w:tcPr>
            <w:tcW w:w="10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CCEEFF"/>
            </w:tcBorders>
            <w:shd w:val="clear" w:color="auto" w:fill="CCEEFF"/>
          </w:tcPr>
          <w:p>
            <w:pPr>
              <w:spacing w:after="0"/>
              <w:rPr>
                <w:sz w:val="17"/>
                <w:szCs w:val="17"/>
                <w:color w:val="auto"/>
              </w:rPr>
            </w:pP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1.26 %</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1.04 %</w:t>
            </w: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spacing w:after="0"/>
              <w:rPr>
                <w:sz w:val="17"/>
                <w:szCs w:val="17"/>
                <w:color w:val="auto"/>
              </w:rPr>
            </w:pPr>
          </w:p>
        </w:tc>
        <w:tc>
          <w:tcPr>
            <w:tcW w:w="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98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Efficiency Ratio</w:t>
            </w:r>
          </w:p>
        </w:tc>
        <w:tc>
          <w:tcPr>
            <w:tcW w:w="120" w:type="dxa"/>
            <w:vAlign w:val="bottom"/>
          </w:tcPr>
          <w:p>
            <w:pPr>
              <w:spacing w:after="0"/>
              <w:rPr>
                <w:sz w:val="16"/>
                <w:szCs w:val="16"/>
                <w:color w:val="auto"/>
              </w:rPr>
            </w:pPr>
          </w:p>
        </w:tc>
        <w:tc>
          <w:tcPr>
            <w:tcW w:w="10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36.4 %</w:t>
            </w: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34.6 %</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41.6 %</w:t>
            </w: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
        </w:trPr>
        <w:tc>
          <w:tcPr>
            <w:tcW w:w="29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8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90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3"/>
        </w:trPr>
        <w:tc>
          <w:tcPr>
            <w:tcW w:w="2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Operating expenses to total average assets</w:t>
            </w:r>
          </w:p>
        </w:tc>
        <w:tc>
          <w:tcPr>
            <w:tcW w:w="120" w:type="dxa"/>
            <w:vAlign w:val="bottom"/>
            <w:shd w:val="clear" w:color="auto" w:fill="CCEEFF"/>
          </w:tcPr>
          <w:p>
            <w:pPr>
              <w:spacing w:after="0"/>
              <w:rPr>
                <w:sz w:val="16"/>
                <w:szCs w:val="16"/>
                <w:color w:val="auto"/>
              </w:rPr>
            </w:pPr>
          </w:p>
        </w:tc>
        <w:tc>
          <w:tcPr>
            <w:tcW w:w="10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0.55 %</w:t>
            </w:r>
          </w:p>
        </w:tc>
        <w:tc>
          <w:tcPr>
            <w:tcW w:w="10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0.58 %</w:t>
            </w: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0.59 %</w:t>
            </w:r>
          </w:p>
        </w:tc>
        <w:tc>
          <w:tcPr>
            <w:tcW w:w="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4"/>
        </w:trPr>
        <w:tc>
          <w:tcPr>
            <w:tcW w:w="298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06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8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0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90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76835</wp:posOffset>
            </wp:positionV>
            <wp:extent cx="160274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1602740" cy="8890"/>
                    </a:xfrm>
                    <a:prstGeom prst="rect">
                      <a:avLst/>
                    </a:prstGeom>
                    <a:noFill/>
                  </pic:spPr>
                </pic:pic>
              </a:graphicData>
            </a:graphic>
          </wp:anchor>
        </w:drawing>
      </w:r>
    </w:p>
    <w:p>
      <w:pPr>
        <w:spacing w:after="0" w:line="116" w:lineRule="exact"/>
        <w:rPr>
          <w:sz w:val="20"/>
          <w:szCs w:val="20"/>
          <w:color w:val="auto"/>
        </w:rPr>
      </w:pPr>
    </w:p>
    <w:p>
      <w:pPr>
        <w:ind w:left="20"/>
        <w:spacing w:after="0"/>
        <w:rPr>
          <w:sz w:val="20"/>
          <w:szCs w:val="20"/>
          <w:color w:val="auto"/>
        </w:rPr>
      </w:pPr>
      <w:r>
        <w:rPr>
          <w:rFonts w:ascii="Times New Roman" w:cs="Times New Roman" w:eastAsia="Times New Roman" w:hAnsi="Times New Roman"/>
          <w:sz w:val="18"/>
          <w:szCs w:val="18"/>
          <w:color w:val="auto"/>
          <w:vertAlign w:val="superscript"/>
        </w:rPr>
        <w:t>(*)</w:t>
      </w:r>
      <w:r>
        <w:rPr>
          <w:rFonts w:ascii="Times New Roman" w:cs="Times New Roman" w:eastAsia="Times New Roman" w:hAnsi="Times New Roman"/>
          <w:sz w:val="14"/>
          <w:szCs w:val="14"/>
          <w:color w:val="auto"/>
        </w:rPr>
        <w:t>"n.m." means not meaningful.</w:t>
      </w:r>
    </w:p>
    <w:p>
      <w:pPr>
        <w:sectPr>
          <w:pgSz w:w="11900" w:h="16838" w:orient="portrait"/>
          <w:cols w:equalWidth="0" w:num="1">
            <w:col w:w="11240"/>
          </w:cols>
          <w:pgMar w:left="320" w:top="1440" w:right="339" w:bottom="1440" w:gutter="0" w:footer="0" w:header="0"/>
        </w:sectPr>
      </w:pPr>
    </w:p>
    <w:p>
      <w:pPr>
        <w:spacing w:after="0" w:line="200" w:lineRule="exact"/>
        <w:rPr>
          <w:sz w:val="20"/>
          <w:szCs w:val="20"/>
          <w:color w:val="auto"/>
        </w:rPr>
      </w:pPr>
    </w:p>
    <w:p>
      <w:pPr>
        <w:spacing w:after="0" w:line="370"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type w:val="continuous"/>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960" w:type="dxa"/>
            <w:vAlign w:val="bottom"/>
            <w:gridSpan w:val="16"/>
            <w:vMerge w:val="restart"/>
          </w:tcPr>
          <w:p>
            <w:pPr>
              <w:jc w:val="right"/>
              <w:spacing w:after="0"/>
              <w:rPr>
                <w:sz w:val="20"/>
                <w:szCs w:val="20"/>
                <w:color w:val="auto"/>
              </w:rPr>
            </w:pPr>
            <w:r>
              <w:rPr>
                <w:rFonts w:ascii="Times New Roman" w:cs="Times New Roman" w:eastAsia="Times New Roman" w:hAnsi="Times New Roman"/>
                <w:sz w:val="18"/>
                <w:szCs w:val="18"/>
                <w:color w:val="auto"/>
              </w:rPr>
              <w:t>CONSOLIDATED NET INTEREST INCOME AND AVERAGE BALANCES</w:t>
            </w: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7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EXHIBIT III</w:t>
            </w:r>
          </w:p>
        </w:tc>
        <w:tc>
          <w:tcPr>
            <w:tcW w:w="0" w:type="dxa"/>
            <w:vAlign w:val="bottom"/>
          </w:tcPr>
          <w:p>
            <w:pPr>
              <w:spacing w:after="0"/>
              <w:rPr>
                <w:sz w:val="1"/>
                <w:szCs w:val="1"/>
                <w:color w:val="auto"/>
              </w:rPr>
            </w:pPr>
          </w:p>
        </w:tc>
      </w:tr>
      <w:tr>
        <w:trPr>
          <w:trHeight w:val="203"/>
        </w:trPr>
        <w:tc>
          <w:tcPr>
            <w:tcW w:w="2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960" w:type="dxa"/>
            <w:vAlign w:val="bottom"/>
            <w:gridSpan w:val="16"/>
            <w:vMerge w:val="continue"/>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9"/>
        </w:trPr>
        <w:tc>
          <w:tcPr>
            <w:tcW w:w="2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760" w:type="dxa"/>
            <w:vAlign w:val="bottom"/>
            <w:gridSpan w:val="6"/>
          </w:tcPr>
          <w:p>
            <w:pPr>
              <w:jc w:val="center"/>
              <w:ind w:right="28"/>
              <w:spacing w:after="0"/>
              <w:rPr>
                <w:sz w:val="20"/>
                <w:szCs w:val="20"/>
                <w:color w:val="auto"/>
              </w:rPr>
            </w:pPr>
            <w:r>
              <w:rPr>
                <w:rFonts w:ascii="Times New Roman" w:cs="Times New Roman" w:eastAsia="Times New Roman" w:hAnsi="Times New Roman"/>
                <w:sz w:val="14"/>
                <w:szCs w:val="14"/>
                <w:color w:val="auto"/>
              </w:rPr>
              <w:t>FOR THE THREE MONTHS ENDED</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gridSpan w:val="4"/>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980" w:type="dxa"/>
            <w:vAlign w:val="bottom"/>
            <w:tcBorders>
              <w:bottom w:val="single" w:sz="8" w:color="auto"/>
            </w:tcBorders>
            <w:gridSpan w:val="5"/>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gridSpan w:val="4"/>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2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160" w:type="dxa"/>
            <w:vAlign w:val="bottom"/>
            <w:gridSpan w:val="4"/>
          </w:tcPr>
          <w:p>
            <w:pPr>
              <w:ind w:left="40"/>
              <w:spacing w:after="0"/>
              <w:rPr>
                <w:sz w:val="20"/>
                <w:szCs w:val="20"/>
                <w:color w:val="auto"/>
              </w:rPr>
            </w:pPr>
            <w:r>
              <w:rPr>
                <w:rFonts w:ascii="Times New Roman" w:cs="Times New Roman" w:eastAsia="Times New Roman" w:hAnsi="Times New Roman"/>
                <w:sz w:val="14"/>
                <w:szCs w:val="14"/>
                <w:color w:val="auto"/>
              </w:rPr>
              <w:t>March 31, 2022</w:t>
            </w: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980" w:type="dxa"/>
            <w:vAlign w:val="bottom"/>
            <w:gridSpan w:val="5"/>
          </w:tcPr>
          <w:p>
            <w:pPr>
              <w:jc w:val="center"/>
              <w:ind w:left="588"/>
              <w:spacing w:after="0"/>
              <w:rPr>
                <w:sz w:val="20"/>
                <w:szCs w:val="20"/>
                <w:color w:val="auto"/>
              </w:rPr>
            </w:pPr>
            <w:r>
              <w:rPr>
                <w:rFonts w:ascii="Times New Roman" w:cs="Times New Roman" w:eastAsia="Times New Roman" w:hAnsi="Times New Roman"/>
                <w:sz w:val="14"/>
                <w:szCs w:val="14"/>
                <w:color w:val="auto"/>
              </w:rPr>
              <w:t>December 31, 2021</w:t>
            </w: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160" w:type="dxa"/>
            <w:vAlign w:val="bottom"/>
            <w:gridSpan w:val="4"/>
          </w:tcPr>
          <w:p>
            <w:pPr>
              <w:ind w:left="40"/>
              <w:spacing w:after="0"/>
              <w:rPr>
                <w:sz w:val="20"/>
                <w:szCs w:val="20"/>
                <w:color w:val="auto"/>
              </w:rPr>
            </w:pPr>
            <w:r>
              <w:rPr>
                <w:rFonts w:ascii="Times New Roman" w:cs="Times New Roman" w:eastAsia="Times New Roman" w:hAnsi="Times New Roman"/>
                <w:sz w:val="14"/>
                <w:szCs w:val="14"/>
                <w:color w:val="auto"/>
              </w:rPr>
              <w:t>March 31, 2021</w:t>
            </w: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gridSpan w:val="2"/>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0"/>
        </w:trPr>
        <w:tc>
          <w:tcPr>
            <w:tcW w:w="2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40" w:type="dxa"/>
            <w:vAlign w:val="bottom"/>
          </w:tcPr>
          <w:p>
            <w:pPr>
              <w:jc w:val="right"/>
              <w:ind w:right="67"/>
              <w:spacing w:after="0" w:line="160" w:lineRule="exact"/>
              <w:rPr>
                <w:sz w:val="20"/>
                <w:szCs w:val="20"/>
                <w:color w:val="auto"/>
              </w:rPr>
            </w:pPr>
            <w:r>
              <w:rPr>
                <w:rFonts w:ascii="Times New Roman" w:cs="Times New Roman" w:eastAsia="Times New Roman" w:hAnsi="Times New Roman"/>
                <w:sz w:val="14"/>
                <w:szCs w:val="14"/>
                <w:color w:val="auto"/>
              </w:rPr>
              <w:t>AVERAGE</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tcPr>
          <w:p>
            <w:pPr>
              <w:ind w:left="20"/>
              <w:spacing w:after="0" w:line="160" w:lineRule="exact"/>
              <w:rPr>
                <w:sz w:val="20"/>
                <w:szCs w:val="20"/>
                <w:color w:val="auto"/>
              </w:rPr>
            </w:pPr>
            <w:r>
              <w:rPr>
                <w:rFonts w:ascii="Times New Roman" w:cs="Times New Roman" w:eastAsia="Times New Roman" w:hAnsi="Times New Roman"/>
                <w:sz w:val="14"/>
                <w:szCs w:val="14"/>
                <w:color w:val="auto"/>
              </w:rPr>
              <w:t>AVERAGE</w:t>
            </w:r>
          </w:p>
        </w:tc>
        <w:tc>
          <w:tcPr>
            <w:tcW w:w="1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tcPr>
          <w:p>
            <w:pPr>
              <w:jc w:val="right"/>
              <w:ind w:right="68"/>
              <w:spacing w:after="0" w:line="160" w:lineRule="exact"/>
              <w:rPr>
                <w:sz w:val="20"/>
                <w:szCs w:val="20"/>
                <w:color w:val="auto"/>
              </w:rPr>
            </w:pPr>
            <w:r>
              <w:rPr>
                <w:rFonts w:ascii="Times New Roman" w:cs="Times New Roman" w:eastAsia="Times New Roman" w:hAnsi="Times New Roman"/>
                <w:sz w:val="14"/>
                <w:szCs w:val="14"/>
                <w:color w:val="auto"/>
                <w:w w:val="98"/>
              </w:rPr>
              <w:t>AVERAGE</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8"/>
        </w:trPr>
        <w:tc>
          <w:tcPr>
            <w:tcW w:w="2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jc w:val="right"/>
              <w:ind w:right="47"/>
              <w:spacing w:after="0"/>
              <w:rPr>
                <w:sz w:val="20"/>
                <w:szCs w:val="20"/>
                <w:color w:val="auto"/>
              </w:rPr>
            </w:pPr>
            <w:r>
              <w:rPr>
                <w:rFonts w:ascii="Times New Roman" w:cs="Times New Roman" w:eastAsia="Times New Roman" w:hAnsi="Times New Roman"/>
                <w:sz w:val="14"/>
                <w:szCs w:val="14"/>
                <w:color w:val="auto"/>
              </w:rPr>
              <w:t>BALANCE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INTEREST</w:t>
            </w: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7"/>
              </w:rPr>
              <w:t>AVG. RATE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BALANCE</w:t>
            </w:r>
          </w:p>
        </w:tc>
        <w:tc>
          <w:tcPr>
            <w:tcW w:w="100" w:type="dxa"/>
            <w:vAlign w:val="bottom"/>
          </w:tcPr>
          <w:p>
            <w:pPr>
              <w:spacing w:after="0"/>
              <w:rPr>
                <w:sz w:val="16"/>
                <w:szCs w:val="16"/>
                <w:color w:val="auto"/>
              </w:rPr>
            </w:pPr>
          </w:p>
        </w:tc>
        <w:tc>
          <w:tcPr>
            <w:tcW w:w="940" w:type="dxa"/>
            <w:vAlign w:val="bottom"/>
            <w:gridSpan w:val="2"/>
          </w:tcPr>
          <w:p>
            <w:pPr>
              <w:ind w:left="40"/>
              <w:spacing w:after="0"/>
              <w:rPr>
                <w:sz w:val="20"/>
                <w:szCs w:val="20"/>
                <w:color w:val="auto"/>
              </w:rPr>
            </w:pPr>
            <w:r>
              <w:rPr>
                <w:rFonts w:ascii="Times New Roman" w:cs="Times New Roman" w:eastAsia="Times New Roman" w:hAnsi="Times New Roman"/>
                <w:sz w:val="14"/>
                <w:szCs w:val="14"/>
                <w:color w:val="auto"/>
              </w:rPr>
              <w:t>INTEREST</w:t>
            </w: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AVG. RATE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jc w:val="right"/>
              <w:ind w:right="48"/>
              <w:spacing w:after="0"/>
              <w:rPr>
                <w:sz w:val="20"/>
                <w:szCs w:val="20"/>
                <w:color w:val="auto"/>
              </w:rPr>
            </w:pPr>
            <w:r>
              <w:rPr>
                <w:rFonts w:ascii="Times New Roman" w:cs="Times New Roman" w:eastAsia="Times New Roman" w:hAnsi="Times New Roman"/>
                <w:sz w:val="14"/>
                <w:szCs w:val="14"/>
                <w:color w:val="auto"/>
              </w:rPr>
              <w:t>BALANCE</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INTEREST</w:t>
            </w: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AVG. RATE</w:t>
            </w: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980" w:type="dxa"/>
            <w:vAlign w:val="bottom"/>
            <w:tcBorders>
              <w:bottom w:val="single" w:sz="8" w:color="auto"/>
            </w:tcBorders>
            <w:gridSpan w:val="5"/>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2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980" w:type="dxa"/>
            <w:vAlign w:val="bottom"/>
            <w:gridSpan w:val="5"/>
          </w:tcPr>
          <w:p>
            <w:pPr>
              <w:jc w:val="center"/>
              <w:ind w:left="608"/>
              <w:spacing w:after="0"/>
              <w:rPr>
                <w:sz w:val="20"/>
                <w:szCs w:val="20"/>
                <w:color w:val="auto"/>
              </w:rPr>
            </w:pPr>
            <w:r>
              <w:rPr>
                <w:rFonts w:ascii="Times New Roman" w:cs="Times New Roman" w:eastAsia="Times New Roman" w:hAnsi="Times New Roman"/>
                <w:sz w:val="14"/>
                <w:szCs w:val="14"/>
                <w:color w:val="auto"/>
              </w:rPr>
              <w:t>(In US$ thousand)</w:t>
            </w: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INTEREST EARNING ASSETS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Cash and due from banks</w:t>
            </w:r>
          </w:p>
        </w:tc>
        <w:tc>
          <w:tcPr>
            <w:tcW w:w="10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1,104,575</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503</w:t>
            </w:r>
          </w:p>
        </w:tc>
        <w:tc>
          <w:tcPr>
            <w:tcW w:w="10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0.18 %</w:t>
            </w:r>
          </w:p>
        </w:tc>
        <w:tc>
          <w:tcPr>
            <w:tcW w:w="22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726,519</w:t>
            </w:r>
          </w:p>
        </w:tc>
        <w:tc>
          <w:tcPr>
            <w:tcW w:w="100" w:type="dxa"/>
            <w:vAlign w:val="bottom"/>
          </w:tcPr>
          <w:p>
            <w:pPr>
              <w:spacing w:after="0"/>
              <w:rPr>
                <w:sz w:val="16"/>
                <w:szCs w:val="16"/>
                <w:color w:val="auto"/>
              </w:rPr>
            </w:pPr>
          </w:p>
        </w:tc>
        <w:tc>
          <w:tcPr>
            <w:tcW w:w="10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282</w:t>
            </w:r>
          </w:p>
        </w:tc>
        <w:tc>
          <w:tcPr>
            <w:tcW w:w="8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0.15 %</w:t>
            </w:r>
          </w:p>
        </w:tc>
        <w:tc>
          <w:tcPr>
            <w:tcW w:w="220" w:type="dxa"/>
            <w:vAlign w:val="bottom"/>
            <w:gridSpan w:val="2"/>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1,005,121</w:t>
            </w:r>
          </w:p>
        </w:tc>
        <w:tc>
          <w:tcPr>
            <w:tcW w:w="22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361</w:t>
            </w:r>
          </w:p>
        </w:tc>
        <w:tc>
          <w:tcPr>
            <w:tcW w:w="10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0.14 %</w:t>
            </w: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Securities at fair value through OCI</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182,403</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156</w:t>
            </w: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0.34</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194,099</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176</w:t>
            </w: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0.35</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230,765</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239</w:t>
            </w: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0.41</w:t>
            </w:r>
          </w:p>
        </w:tc>
        <w:tc>
          <w:tcPr>
            <w:tcW w:w="0" w:type="dxa"/>
            <w:vAlign w:val="bottom"/>
          </w:tcPr>
          <w:p>
            <w:pPr>
              <w:spacing w:after="0"/>
              <w:rPr>
                <w:sz w:val="1"/>
                <w:szCs w:val="1"/>
                <w:color w:val="auto"/>
              </w:rPr>
            </w:pPr>
          </w:p>
        </w:tc>
      </w:tr>
      <w:tr>
        <w:trPr>
          <w:trHeight w:val="216"/>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 xml:space="preserve">Securities at amortized cost </w:t>
            </w:r>
            <w:r>
              <w:rPr>
                <w:rFonts w:ascii="Times New Roman" w:cs="Times New Roman" w:eastAsia="Times New Roman" w:hAnsi="Times New Roman"/>
                <w:sz w:val="18"/>
                <w:szCs w:val="18"/>
                <w:color w:val="auto"/>
                <w:vertAlign w:val="superscript"/>
              </w:rPr>
              <w:t>(1)</w:t>
            </w:r>
          </w:p>
        </w:tc>
        <w:tc>
          <w:tcPr>
            <w:tcW w:w="1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737,931</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4,137</w:t>
            </w:r>
          </w:p>
        </w:tc>
        <w:tc>
          <w:tcPr>
            <w:tcW w:w="1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2.24</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595,935</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3,634</w:t>
            </w:r>
          </w:p>
        </w:tc>
        <w:tc>
          <w:tcPr>
            <w:tcW w:w="8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2.39</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168,756</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1,398</w:t>
            </w:r>
          </w:p>
        </w:tc>
        <w:tc>
          <w:tcPr>
            <w:tcW w:w="1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3.31</w:t>
            </w: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Loans, net of unearned interest</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5,887,768</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40,208</w:t>
            </w: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2.73</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5,396,919</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34,939</w:t>
            </w: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2.53</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4,755,822</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30,921</w:t>
            </w: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2.60</w:t>
            </w:r>
          </w:p>
        </w:tc>
        <w:tc>
          <w:tcPr>
            <w:tcW w:w="0" w:type="dxa"/>
            <w:vAlign w:val="bottom"/>
          </w:tcPr>
          <w:p>
            <w:pPr>
              <w:spacing w:after="0"/>
              <w:rPr>
                <w:sz w:val="1"/>
                <w:szCs w:val="1"/>
                <w:color w:val="auto"/>
              </w:rPr>
            </w:pPr>
          </w:p>
        </w:tc>
      </w:tr>
      <w:tr>
        <w:trPr>
          <w:trHeight w:val="216"/>
        </w:trPr>
        <w:tc>
          <w:tcPr>
            <w:tcW w:w="21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46"/>
        </w:trPr>
        <w:tc>
          <w:tcPr>
            <w:tcW w:w="2420" w:type="dxa"/>
            <w:vAlign w:val="bottom"/>
            <w:gridSpan w:val="3"/>
            <w:shd w:val="clear" w:color="auto" w:fill="CCEEFF"/>
          </w:tcPr>
          <w:p>
            <w:pPr>
              <w:ind w:left="20"/>
              <w:spacing w:after="0" w:line="147" w:lineRule="exact"/>
              <w:rPr>
                <w:sz w:val="20"/>
                <w:szCs w:val="20"/>
                <w:color w:val="auto"/>
              </w:rPr>
            </w:pPr>
            <w:r>
              <w:rPr>
                <w:rFonts w:ascii="Times New Roman" w:cs="Times New Roman" w:eastAsia="Times New Roman" w:hAnsi="Times New Roman"/>
                <w:sz w:val="14"/>
                <w:szCs w:val="14"/>
                <w:color w:val="auto"/>
              </w:rPr>
              <w:t>TOTAL INTEREST EARNING</w:t>
            </w:r>
          </w:p>
        </w:tc>
        <w:tc>
          <w:tcPr>
            <w:tcW w:w="1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ASSETS</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7,912,677</w:t>
            </w:r>
          </w:p>
        </w:tc>
        <w:tc>
          <w:tcPr>
            <w:tcW w:w="2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45,004</w:t>
            </w: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2.28 %</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6,913,473</w:t>
            </w:r>
          </w:p>
        </w:tc>
        <w:tc>
          <w:tcPr>
            <w:tcW w:w="1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39,031</w:t>
            </w: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2.21 %</w:t>
            </w: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6,160,464</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32,918</w:t>
            </w: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2.14 %</w:t>
            </w:r>
          </w:p>
        </w:tc>
        <w:tc>
          <w:tcPr>
            <w:tcW w:w="0" w:type="dxa"/>
            <w:vAlign w:val="bottom"/>
          </w:tcPr>
          <w:p>
            <w:pPr>
              <w:spacing w:after="0"/>
              <w:rPr>
                <w:sz w:val="1"/>
                <w:szCs w:val="1"/>
                <w:color w:val="auto"/>
              </w:rPr>
            </w:pPr>
          </w:p>
        </w:tc>
      </w:tr>
      <w:tr>
        <w:trPr>
          <w:trHeight w:val="209"/>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Allowance for loan losses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(43,559)</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(42,056)</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(40,254)</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3"/>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Non interest earning assets</w:t>
            </w:r>
          </w:p>
        </w:tc>
        <w:tc>
          <w:tcPr>
            <w:tcW w:w="10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263,036</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212,698</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142,182</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84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84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82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6"/>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TOTAL ASSETS</w:t>
            </w:r>
          </w:p>
        </w:tc>
        <w:tc>
          <w:tcPr>
            <w:tcW w:w="10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8,132,154</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7,084,115</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20" w:type="dxa"/>
            <w:vAlign w:val="bottom"/>
            <w:gridSpan w:val="2"/>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6,262,393</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80" w:type="dxa"/>
            <w:vAlign w:val="bottom"/>
            <w:tcBorders>
              <w:bottom w:val="single" w:sz="8" w:color="CCEEFF"/>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84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76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86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78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84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780" w:type="dxa"/>
            <w:vAlign w:val="bottom"/>
            <w:tcBorders>
              <w:bottom w:val="single" w:sz="8" w:color="CCEEFF"/>
            </w:tcBorders>
          </w:tcPr>
          <w:p>
            <w:pPr>
              <w:spacing w:after="0"/>
              <w:rPr>
                <w:sz w:val="2"/>
                <w:szCs w:val="2"/>
                <w:color w:val="auto"/>
              </w:rPr>
            </w:pPr>
          </w:p>
        </w:tc>
        <w:tc>
          <w:tcPr>
            <w:tcW w:w="0" w:type="dxa"/>
            <w:vAlign w:val="bottom"/>
          </w:tcPr>
          <w:p>
            <w:pPr>
              <w:spacing w:after="0"/>
              <w:rPr>
                <w:sz w:val="1"/>
                <w:szCs w:val="1"/>
                <w:color w:val="auto"/>
              </w:rPr>
            </w:pPr>
          </w:p>
        </w:tc>
      </w:tr>
      <w:tr>
        <w:trPr>
          <w:trHeight w:val="210"/>
        </w:trPr>
        <w:tc>
          <w:tcPr>
            <w:tcW w:w="2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INTEREST BEARING LIABILITIES</w:t>
            </w: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Deposits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3,155,179</w:t>
            </w:r>
          </w:p>
        </w:tc>
        <w:tc>
          <w:tcPr>
            <w:tcW w:w="2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3,540</w:t>
            </w: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0.45 %</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3,167,728</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2,812</w:t>
            </w: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0.35 %</w:t>
            </w: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3,254,281</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3,472</w:t>
            </w: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0.43 %</w:t>
            </w:r>
          </w:p>
        </w:tc>
        <w:tc>
          <w:tcPr>
            <w:tcW w:w="0" w:type="dxa"/>
            <w:vAlign w:val="bottom"/>
          </w:tcPr>
          <w:p>
            <w:pPr>
              <w:spacing w:after="0"/>
              <w:rPr>
                <w:sz w:val="1"/>
                <w:szCs w:val="1"/>
                <w:color w:val="auto"/>
              </w:rPr>
            </w:pPr>
          </w:p>
        </w:tc>
      </w:tr>
      <w:tr>
        <w:trPr>
          <w:trHeight w:val="166"/>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Securities sold under repurchase</w:t>
            </w:r>
          </w:p>
        </w:tc>
        <w:tc>
          <w:tcPr>
            <w:tcW w:w="10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agreement and short-term borrowings</w:t>
            </w:r>
          </w:p>
        </w:tc>
        <w:tc>
          <w:tcPr>
            <w:tcW w:w="10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8"/>
        </w:trPr>
        <w:tc>
          <w:tcPr>
            <w:tcW w:w="2420" w:type="dxa"/>
            <w:vAlign w:val="bottom"/>
            <w:gridSpan w:val="3"/>
          </w:tcPr>
          <w:p>
            <w:pPr>
              <w:ind w:left="20"/>
              <w:spacing w:after="0"/>
              <w:rPr>
                <w:sz w:val="20"/>
                <w:szCs w:val="20"/>
                <w:color w:val="auto"/>
              </w:rPr>
            </w:pPr>
            <w:r>
              <w:rPr>
                <w:rFonts w:ascii="Times New Roman" w:cs="Times New Roman" w:eastAsia="Times New Roman" w:hAnsi="Times New Roman"/>
                <w:sz w:val="14"/>
                <w:szCs w:val="14"/>
                <w:color w:val="auto"/>
              </w:rPr>
              <w:t>and debt</w:t>
            </w:r>
          </w:p>
        </w:tc>
        <w:tc>
          <w:tcPr>
            <w:tcW w:w="10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1,865,683</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4,393</w:t>
            </w:r>
          </w:p>
        </w:tc>
        <w:tc>
          <w:tcPr>
            <w:tcW w:w="100" w:type="dxa"/>
            <w:vAlign w:val="bottom"/>
          </w:tcPr>
          <w:p>
            <w:pPr>
              <w:spacing w:after="0"/>
              <w:rPr>
                <w:sz w:val="16"/>
                <w:szCs w:val="16"/>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0.94</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1,118,020</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6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2,148</w:t>
            </w:r>
          </w:p>
        </w:tc>
        <w:tc>
          <w:tcPr>
            <w:tcW w:w="8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0.75</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368,291</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1,785</w:t>
            </w:r>
          </w:p>
        </w:tc>
        <w:tc>
          <w:tcPr>
            <w:tcW w:w="100" w:type="dxa"/>
            <w:vAlign w:val="bottom"/>
          </w:tcPr>
          <w:p>
            <w:pPr>
              <w:spacing w:after="0"/>
              <w:rPr>
                <w:sz w:val="16"/>
                <w:szCs w:val="16"/>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1.94</w:t>
            </w:r>
          </w:p>
        </w:tc>
        <w:tc>
          <w:tcPr>
            <w:tcW w:w="0" w:type="dxa"/>
            <w:vAlign w:val="bottom"/>
          </w:tcPr>
          <w:p>
            <w:pPr>
              <w:spacing w:after="0"/>
              <w:rPr>
                <w:sz w:val="1"/>
                <w:szCs w:val="1"/>
                <w:color w:val="auto"/>
              </w:rPr>
            </w:pPr>
          </w:p>
        </w:tc>
      </w:tr>
      <w:tr>
        <w:trPr>
          <w:trHeight w:val="23"/>
        </w:trPr>
        <w:tc>
          <w:tcPr>
            <w:tcW w:w="2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8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3"/>
        </w:trPr>
        <w:tc>
          <w:tcPr>
            <w:tcW w:w="2140" w:type="dxa"/>
            <w:vAlign w:val="bottom"/>
            <w:vMerge w:val="restart"/>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shd w:val="clear" w:color="auto" w:fill="CCEEFF"/>
              </w:rPr>
              <w:t>Long-term borrowings and debt, net</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w w:val="75"/>
                <w:shd w:val="clear" w:color="auto" w:fill="CCEEFF"/>
              </w:rPr>
              <w:t>(2)</w:t>
            </w:r>
          </w:p>
        </w:tc>
        <w:tc>
          <w:tcPr>
            <w:tcW w:w="180" w:type="dxa"/>
            <w:vAlign w:val="bottom"/>
            <w:vMerge w:val="restart"/>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1,863,515</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11,350</w:t>
            </w:r>
          </w:p>
        </w:tc>
        <w:tc>
          <w:tcPr>
            <w:tcW w:w="100" w:type="dxa"/>
            <w:vAlign w:val="bottom"/>
            <w:shd w:val="clear" w:color="auto" w:fill="CCEEFF"/>
          </w:tcPr>
          <w:p>
            <w:pPr>
              <w:spacing w:after="0"/>
              <w:rPr>
                <w:sz w:val="10"/>
                <w:szCs w:val="10"/>
                <w:color w:val="auto"/>
              </w:rPr>
            </w:pP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2.44</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1,586,340</w:t>
            </w: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60" w:type="dxa"/>
            <w:vAlign w:val="bottom"/>
            <w:vMerge w:val="restart"/>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9,261</w:t>
            </w:r>
          </w:p>
        </w:tc>
        <w:tc>
          <w:tcPr>
            <w:tcW w:w="80" w:type="dxa"/>
            <w:vAlign w:val="bottom"/>
            <w:shd w:val="clear" w:color="auto" w:fill="CCEEFF"/>
          </w:tcPr>
          <w:p>
            <w:pPr>
              <w:spacing w:after="0"/>
              <w:rPr>
                <w:sz w:val="10"/>
                <w:szCs w:val="10"/>
                <w:color w:val="auto"/>
              </w:rPr>
            </w:pPr>
          </w:p>
        </w:tc>
        <w:tc>
          <w:tcPr>
            <w:tcW w:w="7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2.28</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1,494,923</w:t>
            </w: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8,766</w:t>
            </w:r>
          </w:p>
        </w:tc>
        <w:tc>
          <w:tcPr>
            <w:tcW w:w="100" w:type="dxa"/>
            <w:vAlign w:val="bottom"/>
            <w:shd w:val="clear" w:color="auto" w:fill="CCEEFF"/>
          </w:tcPr>
          <w:p>
            <w:pPr>
              <w:spacing w:after="0"/>
              <w:rPr>
                <w:sz w:val="10"/>
                <w:szCs w:val="10"/>
                <w:color w:val="auto"/>
              </w:rPr>
            </w:pPr>
          </w:p>
        </w:tc>
        <w:tc>
          <w:tcPr>
            <w:tcW w:w="7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2.35</w:t>
            </w:r>
          </w:p>
        </w:tc>
        <w:tc>
          <w:tcPr>
            <w:tcW w:w="0" w:type="dxa"/>
            <w:vAlign w:val="bottom"/>
          </w:tcPr>
          <w:p>
            <w:pPr>
              <w:spacing w:after="0"/>
              <w:rPr>
                <w:sz w:val="1"/>
                <w:szCs w:val="1"/>
                <w:color w:val="auto"/>
              </w:rPr>
            </w:pPr>
          </w:p>
        </w:tc>
      </w:tr>
      <w:tr>
        <w:trPr>
          <w:trHeight w:val="73"/>
        </w:trPr>
        <w:tc>
          <w:tcPr>
            <w:tcW w:w="21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8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76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860" w:type="dxa"/>
            <w:vAlign w:val="bottom"/>
            <w:tcBorders>
              <w:bottom w:val="single" w:sz="8" w:color="CCEEFF"/>
            </w:tcBorders>
            <w:vMerge w:val="continue"/>
            <w:shd w:val="clear" w:color="auto" w:fill="CCEEFF"/>
          </w:tcPr>
          <w:p>
            <w:pPr>
              <w:spacing w:after="0"/>
              <w:rPr>
                <w:sz w:val="6"/>
                <w:szCs w:val="6"/>
                <w:color w:val="auto"/>
              </w:rPr>
            </w:pPr>
          </w:p>
        </w:tc>
        <w:tc>
          <w:tcPr>
            <w:tcW w:w="80" w:type="dxa"/>
            <w:vAlign w:val="bottom"/>
            <w:tcBorders>
              <w:bottom w:val="single" w:sz="8" w:color="CCEEFF"/>
            </w:tcBorders>
            <w:shd w:val="clear" w:color="auto" w:fill="CCEEFF"/>
          </w:tcPr>
          <w:p>
            <w:pPr>
              <w:spacing w:after="0"/>
              <w:rPr>
                <w:sz w:val="6"/>
                <w:szCs w:val="6"/>
                <w:color w:val="auto"/>
              </w:rPr>
            </w:pPr>
          </w:p>
        </w:tc>
        <w:tc>
          <w:tcPr>
            <w:tcW w:w="78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2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120" w:type="dxa"/>
            <w:vAlign w:val="bottom"/>
            <w:tcBorders>
              <w:bottom w:val="single" w:sz="8" w:color="CCEEFF"/>
            </w:tcBorders>
            <w:shd w:val="clear" w:color="auto" w:fill="CCEEFF"/>
          </w:tcPr>
          <w:p>
            <w:pPr>
              <w:spacing w:after="0"/>
              <w:rPr>
                <w:sz w:val="6"/>
                <w:szCs w:val="6"/>
                <w:color w:val="auto"/>
              </w:rPr>
            </w:pPr>
          </w:p>
        </w:tc>
        <w:tc>
          <w:tcPr>
            <w:tcW w:w="840" w:type="dxa"/>
            <w:vAlign w:val="bottom"/>
            <w:tcBorders>
              <w:bottom w:val="single" w:sz="8" w:color="CCEEFF"/>
            </w:tcBorders>
            <w:vMerge w:val="continue"/>
            <w:shd w:val="clear" w:color="auto" w:fill="CCEEFF"/>
          </w:tcPr>
          <w:p>
            <w:pPr>
              <w:spacing w:after="0"/>
              <w:rPr>
                <w:sz w:val="6"/>
                <w:szCs w:val="6"/>
                <w:color w:val="auto"/>
              </w:rPr>
            </w:pPr>
          </w:p>
        </w:tc>
        <w:tc>
          <w:tcPr>
            <w:tcW w:w="100" w:type="dxa"/>
            <w:vAlign w:val="bottom"/>
            <w:tcBorders>
              <w:bottom w:val="single" w:sz="8" w:color="CCEEFF"/>
            </w:tcBorders>
            <w:shd w:val="clear" w:color="auto" w:fill="CCEEFF"/>
          </w:tcPr>
          <w:p>
            <w:pPr>
              <w:spacing w:after="0"/>
              <w:rPr>
                <w:sz w:val="6"/>
                <w:szCs w:val="6"/>
                <w:color w:val="auto"/>
              </w:rPr>
            </w:pPr>
          </w:p>
        </w:tc>
        <w:tc>
          <w:tcPr>
            <w:tcW w:w="780" w:type="dxa"/>
            <w:vAlign w:val="bottom"/>
            <w:tcBorders>
              <w:bottom w:val="single" w:sz="8" w:color="CCEEFF"/>
            </w:tcBorders>
            <w:vMerge w:val="continue"/>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21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46"/>
        </w:trPr>
        <w:tc>
          <w:tcPr>
            <w:tcW w:w="2420" w:type="dxa"/>
            <w:vAlign w:val="bottom"/>
            <w:gridSpan w:val="3"/>
            <w:shd w:val="clear" w:color="auto" w:fill="CCEEFF"/>
          </w:tcPr>
          <w:p>
            <w:pPr>
              <w:ind w:left="20"/>
              <w:spacing w:after="0" w:line="147" w:lineRule="exact"/>
              <w:rPr>
                <w:sz w:val="20"/>
                <w:szCs w:val="20"/>
                <w:color w:val="auto"/>
              </w:rPr>
            </w:pPr>
            <w:r>
              <w:rPr>
                <w:rFonts w:ascii="Times New Roman" w:cs="Times New Roman" w:eastAsia="Times New Roman" w:hAnsi="Times New Roman"/>
                <w:sz w:val="14"/>
                <w:szCs w:val="14"/>
                <w:color w:val="auto"/>
              </w:rPr>
              <w:t>TOTAL INTEREST BEARING</w:t>
            </w:r>
          </w:p>
        </w:tc>
        <w:tc>
          <w:tcPr>
            <w:tcW w:w="1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LIABILITIES</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6,884,376</w:t>
            </w:r>
          </w:p>
        </w:tc>
        <w:tc>
          <w:tcPr>
            <w:tcW w:w="2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19,283</w:t>
            </w: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1.12 %</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5,872,087</w:t>
            </w:r>
          </w:p>
        </w:tc>
        <w:tc>
          <w:tcPr>
            <w:tcW w:w="1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14,221</w:t>
            </w: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0.95 %</w:t>
            </w: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5,117,495</w:t>
            </w: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14,023</w:t>
            </w: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1.10 %</w:t>
            </w:r>
          </w:p>
        </w:tc>
        <w:tc>
          <w:tcPr>
            <w:tcW w:w="0" w:type="dxa"/>
            <w:vAlign w:val="bottom"/>
          </w:tcPr>
          <w:p>
            <w:pPr>
              <w:spacing w:after="0"/>
              <w:rPr>
                <w:sz w:val="1"/>
                <w:szCs w:val="1"/>
                <w:color w:val="auto"/>
              </w:rPr>
            </w:pPr>
          </w:p>
        </w:tc>
      </w:tr>
      <w:tr>
        <w:trPr>
          <w:trHeight w:val="210"/>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242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Non interest bearing liabilities and other</w:t>
            </w:r>
          </w:p>
        </w:tc>
        <w:tc>
          <w:tcPr>
            <w:tcW w:w="1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liabilities</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243,072</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209,344</w:t>
            </w:r>
          </w:p>
        </w:tc>
        <w:tc>
          <w:tcPr>
            <w:tcW w:w="10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86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102,420</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LIABILITIES</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7,127,448</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6,081,431</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5,219,916</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EQUITY</w:t>
            </w:r>
          </w:p>
        </w:tc>
        <w:tc>
          <w:tcPr>
            <w:tcW w:w="10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1,004,705</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1,002,683</w:t>
            </w:r>
          </w:p>
        </w:tc>
        <w:tc>
          <w:tcPr>
            <w:tcW w:w="1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8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1,042,477</w:t>
            </w:r>
          </w:p>
        </w:tc>
        <w:tc>
          <w:tcPr>
            <w:tcW w:w="1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1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8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6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86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78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84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7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LIABILITIES AND EQUITY</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8,132,154</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7,084,115</w:t>
            </w:r>
          </w:p>
        </w:tc>
        <w:tc>
          <w:tcPr>
            <w:tcW w:w="1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8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6,262,393</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SPREAD</w:t>
            </w:r>
          </w:p>
        </w:tc>
        <w:tc>
          <w:tcPr>
            <w:tcW w:w="10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1.15 %</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8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1.26 %</w:t>
            </w: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2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8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1.04 %</w:t>
            </w:r>
          </w:p>
        </w:tc>
        <w:tc>
          <w:tcPr>
            <w:tcW w:w="0" w:type="dxa"/>
            <w:vAlign w:val="bottom"/>
          </w:tcPr>
          <w:p>
            <w:pPr>
              <w:spacing w:after="0"/>
              <w:rPr>
                <w:sz w:val="1"/>
                <w:szCs w:val="1"/>
                <w:color w:val="auto"/>
              </w:rPr>
            </w:pPr>
          </w:p>
        </w:tc>
      </w:tr>
      <w:tr>
        <w:trPr>
          <w:trHeight w:val="210"/>
        </w:trPr>
        <w:tc>
          <w:tcPr>
            <w:tcW w:w="2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242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NET INTEREST INCOME AND NET</w:t>
            </w:r>
          </w:p>
        </w:tc>
        <w:tc>
          <w:tcPr>
            <w:tcW w:w="1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24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INTEREST MARGIN</w:t>
            </w:r>
          </w:p>
        </w:tc>
        <w:tc>
          <w:tcPr>
            <w:tcW w:w="10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25,721</w:t>
            </w:r>
          </w:p>
        </w:tc>
        <w:tc>
          <w:tcPr>
            <w:tcW w:w="100" w:type="dxa"/>
            <w:vAlign w:val="bottom"/>
            <w:tcBorders>
              <w:bottom w:val="single" w:sz="8" w:color="CCEEFF"/>
            </w:tcBorders>
            <w:shd w:val="clear" w:color="auto" w:fill="CCEEFF"/>
          </w:tcPr>
          <w:p>
            <w:pPr>
              <w:spacing w:after="0"/>
              <w:rPr>
                <w:sz w:val="16"/>
                <w:szCs w:val="16"/>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1.32 %</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4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860" w:type="dxa"/>
            <w:vAlign w:val="bottom"/>
            <w:tcBorders>
              <w:bottom w:val="single" w:sz="8" w:color="CCEEFF"/>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24,811</w:t>
            </w:r>
          </w:p>
        </w:tc>
        <w:tc>
          <w:tcPr>
            <w:tcW w:w="8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1.42 %</w:t>
            </w:r>
          </w:p>
        </w:tc>
        <w:tc>
          <w:tcPr>
            <w:tcW w:w="10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82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18,895</w:t>
            </w:r>
          </w:p>
        </w:tc>
        <w:tc>
          <w:tcPr>
            <w:tcW w:w="100" w:type="dxa"/>
            <w:vAlign w:val="bottom"/>
            <w:tcBorders>
              <w:bottom w:val="single" w:sz="8" w:color="CCEEFF"/>
            </w:tcBorders>
            <w:shd w:val="clear" w:color="auto" w:fill="CCEEFF"/>
          </w:tcPr>
          <w:p>
            <w:pPr>
              <w:spacing w:after="0"/>
              <w:rPr>
                <w:sz w:val="16"/>
                <w:szCs w:val="16"/>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1.24 %</w:t>
            </w:r>
          </w:p>
        </w:tc>
        <w:tc>
          <w:tcPr>
            <w:tcW w:w="0" w:type="dxa"/>
            <w:vAlign w:val="bottom"/>
          </w:tcPr>
          <w:p>
            <w:pPr>
              <w:spacing w:after="0"/>
              <w:rPr>
                <w:sz w:val="1"/>
                <w:szCs w:val="1"/>
                <w:color w:val="auto"/>
              </w:rPr>
            </w:pPr>
          </w:p>
        </w:tc>
      </w:tr>
      <w:tr>
        <w:trPr>
          <w:trHeight w:val="20"/>
        </w:trPr>
        <w:tc>
          <w:tcPr>
            <w:tcW w:w="2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216027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2160270" cy="8890"/>
                    </a:xfrm>
                    <a:prstGeom prst="rect">
                      <a:avLst/>
                    </a:prstGeom>
                    <a:noFill/>
                  </pic:spPr>
                </pic:pic>
              </a:graphicData>
            </a:graphic>
          </wp:anchor>
        </w:drawing>
      </w:r>
    </w:p>
    <w:p>
      <w:pPr>
        <w:spacing w:after="0" w:line="241" w:lineRule="exact"/>
        <w:rPr>
          <w:sz w:val="20"/>
          <w:szCs w:val="20"/>
          <w:color w:val="auto"/>
        </w:rPr>
      </w:pPr>
    </w:p>
    <w:p>
      <w:pPr>
        <w:ind w:left="320" w:hanging="312"/>
        <w:spacing w:after="0"/>
        <w:tabs>
          <w:tab w:leader="none" w:pos="320" w:val="left"/>
        </w:tabs>
        <w:numPr>
          <w:ilvl w:val="0"/>
          <w:numId w:val="6"/>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Gross of the allowance for losses relating to securities at amortized cost.</w:t>
      </w:r>
    </w:p>
    <w:p>
      <w:pPr>
        <w:spacing w:after="0" w:line="27" w:lineRule="exact"/>
        <w:rPr>
          <w:rFonts w:ascii="Times New Roman" w:cs="Times New Roman" w:eastAsia="Times New Roman" w:hAnsi="Times New Roman"/>
          <w:sz w:val="14"/>
          <w:szCs w:val="14"/>
          <w:color w:val="auto"/>
        </w:rPr>
      </w:pPr>
    </w:p>
    <w:p>
      <w:pPr>
        <w:ind w:left="320" w:hanging="312"/>
        <w:spacing w:after="0"/>
        <w:tabs>
          <w:tab w:leader="none" w:pos="320" w:val="left"/>
        </w:tabs>
        <w:numPr>
          <w:ilvl w:val="0"/>
          <w:numId w:val="6"/>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Includes lease liabilities, net of prepaid commissions.</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Note: Interest income and/or expense includes the effect of derivative financial instruments used for hedging.</w:t>
      </w:r>
    </w:p>
    <w:p>
      <w:pPr>
        <w:spacing w:after="0" w:line="200" w:lineRule="exact"/>
        <w:rPr>
          <w:sz w:val="20"/>
          <w:szCs w:val="20"/>
          <w:color w:val="auto"/>
        </w:rPr>
      </w:pPr>
    </w:p>
    <w:p>
      <w:pPr>
        <w:spacing w:after="0" w:line="275"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Net Interest Income:</w:t>
      </w:r>
    </w:p>
    <w:p>
      <w:pPr>
        <w:spacing w:after="0" w:line="5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Interest income</w:t>
      </w:r>
    </w:p>
    <w:p>
      <w:pPr>
        <w:spacing w:after="0" w:line="5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Interest expense</w:t>
      </w:r>
    </w:p>
    <w:p>
      <w:pPr>
        <w:spacing w:after="0" w:line="6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Net Interest Income</w:t>
      </w:r>
    </w:p>
    <w:p>
      <w:pPr>
        <w:spacing w:after="0" w:line="3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Other income (expense):</w:t>
      </w:r>
    </w:p>
    <w:p>
      <w:pPr>
        <w:spacing w:after="0" w:line="5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Fees and commissions, net</w:t>
      </w:r>
    </w:p>
    <w:p>
      <w:pPr>
        <w:spacing w:after="0" w:line="50" w:lineRule="exact"/>
        <w:rPr>
          <w:sz w:val="20"/>
          <w:szCs w:val="20"/>
          <w:color w:val="auto"/>
        </w:rPr>
      </w:pPr>
    </w:p>
    <w:p>
      <w:pPr>
        <w:ind w:right="140"/>
        <w:spacing w:after="0" w:line="305" w:lineRule="auto"/>
        <w:rPr>
          <w:sz w:val="20"/>
          <w:szCs w:val="20"/>
          <w:color w:val="auto"/>
        </w:rPr>
      </w:pPr>
      <w:r>
        <w:rPr>
          <w:rFonts w:ascii="Times New Roman" w:cs="Times New Roman" w:eastAsia="Times New Roman" w:hAnsi="Times New Roman"/>
          <w:sz w:val="18"/>
          <w:szCs w:val="18"/>
          <w:color w:val="auto"/>
        </w:rPr>
        <w:t>Gain (loss) on financial instruments, net Other income, net</w:t>
      </w:r>
    </w:p>
    <w:p>
      <w:pPr>
        <w:spacing w:after="0"/>
        <w:rPr>
          <w:sz w:val="20"/>
          <w:szCs w:val="20"/>
          <w:color w:val="auto"/>
        </w:rPr>
      </w:pPr>
      <w:r>
        <w:rPr>
          <w:rFonts w:ascii="Times New Roman" w:cs="Times New Roman" w:eastAsia="Times New Roman" w:hAnsi="Times New Roman"/>
          <w:sz w:val="18"/>
          <w:szCs w:val="18"/>
          <w:color w:val="auto"/>
        </w:rPr>
        <w:t>Total other income, net</w:t>
      </w:r>
    </w:p>
    <w:p>
      <w:pPr>
        <w:spacing w:after="0" w:line="3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 revenues</w:t>
      </w:r>
    </w:p>
    <w:p>
      <w:pPr>
        <w:spacing w:after="0" w:line="310" w:lineRule="exact"/>
        <w:rPr>
          <w:sz w:val="20"/>
          <w:szCs w:val="20"/>
          <w:color w:val="auto"/>
        </w:rPr>
      </w:pPr>
    </w:p>
    <w:p>
      <w:pPr>
        <w:ind w:right="240"/>
        <w:spacing w:after="0" w:line="313" w:lineRule="auto"/>
        <w:rPr>
          <w:sz w:val="20"/>
          <w:szCs w:val="20"/>
          <w:color w:val="auto"/>
        </w:rPr>
      </w:pPr>
      <w:r>
        <w:rPr>
          <w:rFonts w:ascii="Times New Roman" w:cs="Times New Roman" w:eastAsia="Times New Roman" w:hAnsi="Times New Roman"/>
          <w:sz w:val="18"/>
          <w:szCs w:val="18"/>
          <w:color w:val="auto"/>
        </w:rPr>
        <w:t>(Provision for) reversal of credit losses Gain on non-financial assets, net Total operating expenses</w:t>
      </w:r>
    </w:p>
    <w:p>
      <w:pPr>
        <w:spacing w:after="0" w:line="25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Profit for the period</w:t>
      </w:r>
    </w:p>
    <w:p>
      <w:pPr>
        <w:spacing w:after="0" w:line="33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SELECTED FINANCIAL DATA</w:t>
      </w:r>
    </w:p>
    <w:p>
      <w:pPr>
        <w:spacing w:after="0" w:line="306" w:lineRule="exact"/>
        <w:rPr>
          <w:sz w:val="20"/>
          <w:szCs w:val="20"/>
          <w:color w:val="auto"/>
        </w:rPr>
      </w:pPr>
    </w:p>
    <w:p>
      <w:pPr>
        <w:ind w:right="680"/>
        <w:spacing w:after="0" w:line="329" w:lineRule="auto"/>
        <w:rPr>
          <w:sz w:val="20"/>
          <w:szCs w:val="20"/>
          <w:color w:val="auto"/>
        </w:rPr>
      </w:pPr>
      <w:r>
        <w:rPr>
          <w:rFonts w:ascii="Times New Roman" w:cs="Times New Roman" w:eastAsia="Times New Roman" w:hAnsi="Times New Roman"/>
          <w:sz w:val="18"/>
          <w:szCs w:val="18"/>
          <w:color w:val="auto"/>
        </w:rPr>
        <w:t>PER COMMON SHARE DATA Basic earnings per share</w:t>
      </w:r>
    </w:p>
    <w:p>
      <w:pPr>
        <w:spacing w:after="0" w:line="202" w:lineRule="exact"/>
        <w:rPr>
          <w:sz w:val="20"/>
          <w:szCs w:val="20"/>
          <w:color w:val="auto"/>
        </w:rPr>
      </w:pPr>
    </w:p>
    <w:p>
      <w:pPr>
        <w:ind w:right="1020"/>
        <w:spacing w:after="0" w:line="297" w:lineRule="auto"/>
        <w:rPr>
          <w:sz w:val="20"/>
          <w:szCs w:val="20"/>
          <w:color w:val="auto"/>
        </w:rPr>
      </w:pPr>
      <w:r>
        <w:rPr>
          <w:rFonts w:ascii="Times New Roman" w:cs="Times New Roman" w:eastAsia="Times New Roman" w:hAnsi="Times New Roman"/>
          <w:sz w:val="18"/>
          <w:szCs w:val="18"/>
          <w:color w:val="auto"/>
        </w:rPr>
        <w:t>PERFORMANCE RATIOS Return on average assets Return on average equity Net interest margin Net interest spread</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Efficiency Ratio</w:t>
      </w:r>
    </w:p>
    <w:p>
      <w:pPr>
        <w:spacing w:after="0" w:line="5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Operating expenses to total average assets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5280" w:type="dxa"/>
            <w:vAlign w:val="bottom"/>
            <w:gridSpan w:val="10"/>
            <w:vMerge w:val="restart"/>
          </w:tcPr>
          <w:p>
            <w:pPr>
              <w:spacing w:after="0"/>
              <w:rPr>
                <w:sz w:val="20"/>
                <w:szCs w:val="20"/>
                <w:color w:val="auto"/>
              </w:rPr>
            </w:pPr>
            <w:r>
              <w:rPr>
                <w:rFonts w:ascii="Times New Roman" w:cs="Times New Roman" w:eastAsia="Times New Roman" w:hAnsi="Times New Roman"/>
                <w:sz w:val="18"/>
                <w:szCs w:val="18"/>
                <w:color w:val="auto"/>
              </w:rPr>
              <w:t>CONSOLIDATED STATEMENT OF PROFIT OR LOSS</w:t>
            </w:r>
          </w:p>
        </w:tc>
        <w:tc>
          <w:tcPr>
            <w:tcW w:w="1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EXHIBIT IV</w:t>
            </w:r>
          </w:p>
        </w:tc>
        <w:tc>
          <w:tcPr>
            <w:tcW w:w="0" w:type="dxa"/>
            <w:vAlign w:val="bottom"/>
          </w:tcPr>
          <w:p>
            <w:pPr>
              <w:spacing w:after="0"/>
              <w:rPr>
                <w:sz w:val="1"/>
                <w:szCs w:val="1"/>
                <w:color w:val="auto"/>
              </w:rPr>
            </w:pPr>
          </w:p>
        </w:tc>
      </w:tr>
      <w:tr>
        <w:trPr>
          <w:trHeight w:val="184"/>
        </w:trPr>
        <w:tc>
          <w:tcPr>
            <w:tcW w:w="5280" w:type="dxa"/>
            <w:vAlign w:val="bottom"/>
            <w:gridSpan w:val="10"/>
            <w:vMerge w:val="continue"/>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140" w:type="dxa"/>
            <w:vAlign w:val="bottom"/>
            <w:gridSpan w:val="8"/>
          </w:tcPr>
          <w:p>
            <w:pPr>
              <w:jc w:val="right"/>
              <w:spacing w:after="0"/>
              <w:rPr>
                <w:sz w:val="20"/>
                <w:szCs w:val="20"/>
                <w:color w:val="auto"/>
              </w:rPr>
            </w:pPr>
            <w:r>
              <w:rPr>
                <w:rFonts w:ascii="Times New Roman" w:cs="Times New Roman" w:eastAsia="Times New Roman" w:hAnsi="Times New Roman"/>
                <w:sz w:val="18"/>
                <w:szCs w:val="18"/>
                <w:color w:val="auto"/>
              </w:rPr>
              <w:t>(In US$ thousand, except per share amounts and ratios)</w:t>
            </w:r>
          </w:p>
        </w:tc>
        <w:tc>
          <w:tcPr>
            <w:tcW w:w="9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140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3760" w:type="dxa"/>
            <w:vAlign w:val="bottom"/>
            <w:tcBorders>
              <w:bottom w:val="single" w:sz="8" w:color="auto"/>
            </w:tcBorders>
            <w:gridSpan w:val="8"/>
          </w:tcPr>
          <w:p>
            <w:pPr>
              <w:ind w:left="320"/>
              <w:spacing w:after="0"/>
              <w:rPr>
                <w:sz w:val="20"/>
                <w:szCs w:val="20"/>
                <w:color w:val="auto"/>
              </w:rPr>
            </w:pPr>
            <w:r>
              <w:rPr>
                <w:rFonts w:ascii="Times New Roman" w:cs="Times New Roman" w:eastAsia="Times New Roman" w:hAnsi="Times New Roman"/>
                <w:sz w:val="18"/>
                <w:szCs w:val="18"/>
                <w:color w:val="auto"/>
              </w:rPr>
              <w:t>FOR THE THREE MONTHS ENDED</w:t>
            </w: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140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w w:val="97"/>
              </w:rPr>
              <w:t>MAR 31/22</w:t>
            </w:r>
          </w:p>
        </w:tc>
        <w:tc>
          <w:tcPr>
            <w:tcW w:w="18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rPr>
              <w:t>DEC 31/21</w:t>
            </w:r>
          </w:p>
        </w:tc>
        <w:tc>
          <w:tcPr>
            <w:tcW w:w="160" w:type="dxa"/>
            <w:vAlign w:val="bottom"/>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rPr>
              <w:t>SEP 30/21</w:t>
            </w:r>
          </w:p>
        </w:tc>
        <w:tc>
          <w:tcPr>
            <w:tcW w:w="180" w:type="dxa"/>
            <w:vAlign w:val="bottom"/>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980" w:type="dxa"/>
            <w:vAlign w:val="bottom"/>
            <w:tcBorders>
              <w:bottom w:val="single" w:sz="8" w:color="auto"/>
            </w:tcBorders>
          </w:tcPr>
          <w:p>
            <w:pPr>
              <w:jc w:val="right"/>
              <w:ind w:right="70"/>
              <w:spacing w:after="0"/>
              <w:rPr>
                <w:sz w:val="20"/>
                <w:szCs w:val="20"/>
                <w:color w:val="auto"/>
              </w:rPr>
            </w:pPr>
            <w:r>
              <w:rPr>
                <w:rFonts w:ascii="Times New Roman" w:cs="Times New Roman" w:eastAsia="Times New Roman" w:hAnsi="Times New Roman"/>
                <w:sz w:val="18"/>
                <w:szCs w:val="18"/>
                <w:color w:val="auto"/>
              </w:rPr>
              <w:t>JUN 30/21</w:t>
            </w:r>
          </w:p>
        </w:tc>
        <w:tc>
          <w:tcPr>
            <w:tcW w:w="18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w w:val="99"/>
              </w:rPr>
              <w:t>MAR 31/21</w:t>
            </w:r>
          </w:p>
        </w:tc>
        <w:tc>
          <w:tcPr>
            <w:tcW w:w="0" w:type="dxa"/>
            <w:vAlign w:val="bottom"/>
          </w:tcPr>
          <w:p>
            <w:pPr>
              <w:spacing w:after="0"/>
              <w:rPr>
                <w:sz w:val="1"/>
                <w:szCs w:val="1"/>
                <w:color w:val="auto"/>
              </w:rPr>
            </w:pPr>
          </w:p>
        </w:tc>
      </w:tr>
      <w:tr>
        <w:trPr>
          <w:trHeight w:val="499"/>
        </w:trPr>
        <w:tc>
          <w:tcPr>
            <w:tcW w:w="15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45,004</w:t>
            </w:r>
          </w:p>
        </w:tc>
        <w:tc>
          <w:tcPr>
            <w:tcW w:w="180" w:type="dxa"/>
            <w:vAlign w:val="bottom"/>
          </w:tcPr>
          <w:p>
            <w:pPr>
              <w:spacing w:after="0"/>
              <w:rPr>
                <w:sz w:val="24"/>
                <w:szCs w:val="24"/>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39,031</w:t>
            </w:r>
          </w:p>
        </w:tc>
        <w:tc>
          <w:tcPr>
            <w:tcW w:w="160" w:type="dxa"/>
            <w:vAlign w:val="bottom"/>
          </w:tcPr>
          <w:p>
            <w:pPr>
              <w:spacing w:after="0"/>
              <w:rPr>
                <w:sz w:val="24"/>
                <w:szCs w:val="24"/>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34,770</w:t>
            </w:r>
          </w:p>
        </w:tc>
        <w:tc>
          <w:tcPr>
            <w:tcW w:w="180" w:type="dxa"/>
            <w:vAlign w:val="bottom"/>
          </w:tcPr>
          <w:p>
            <w:pPr>
              <w:spacing w:after="0"/>
              <w:rPr>
                <w:sz w:val="24"/>
                <w:szCs w:val="24"/>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34,164</w:t>
            </w:r>
          </w:p>
        </w:tc>
        <w:tc>
          <w:tcPr>
            <w:tcW w:w="180" w:type="dxa"/>
            <w:vAlign w:val="bottom"/>
          </w:tcPr>
          <w:p>
            <w:pPr>
              <w:spacing w:after="0"/>
              <w:rPr>
                <w:sz w:val="24"/>
                <w:szCs w:val="24"/>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32,918</w:t>
            </w:r>
          </w:p>
        </w:tc>
        <w:tc>
          <w:tcPr>
            <w:tcW w:w="0" w:type="dxa"/>
            <w:vAlign w:val="bottom"/>
          </w:tcPr>
          <w:p>
            <w:pPr>
              <w:spacing w:after="0"/>
              <w:rPr>
                <w:sz w:val="1"/>
                <w:szCs w:val="1"/>
                <w:color w:val="auto"/>
              </w:rPr>
            </w:pPr>
          </w:p>
        </w:tc>
      </w:tr>
      <w:tr>
        <w:trPr>
          <w:trHeight w:val="263"/>
        </w:trPr>
        <w:tc>
          <w:tcPr>
            <w:tcW w:w="140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(19,283)</w:t>
            </w:r>
          </w:p>
        </w:tc>
        <w:tc>
          <w:tcPr>
            <w:tcW w:w="18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(14,221)</w:t>
            </w:r>
          </w:p>
        </w:tc>
        <w:tc>
          <w:tcPr>
            <w:tcW w:w="160" w:type="dxa"/>
            <w:vAlign w:val="bottom"/>
          </w:tcPr>
          <w:p>
            <w:pPr>
              <w:spacing w:after="0"/>
              <w:rPr>
                <w:sz w:val="22"/>
                <w:szCs w:val="22"/>
                <w:color w:val="auto"/>
              </w:rPr>
            </w:pPr>
          </w:p>
        </w:tc>
        <w:tc>
          <w:tcPr>
            <w:tcW w:w="160" w:type="dxa"/>
            <w:vAlign w:val="bottom"/>
            <w:tcBorders>
              <w:bottom w:val="single" w:sz="8" w:color="auto"/>
            </w:tcBorders>
          </w:tcPr>
          <w:p>
            <w:pPr>
              <w:spacing w:after="0"/>
              <w:rPr>
                <w:sz w:val="22"/>
                <w:szCs w:val="22"/>
                <w:color w:val="auto"/>
              </w:rPr>
            </w:pPr>
          </w:p>
        </w:tc>
        <w:tc>
          <w:tcPr>
            <w:tcW w:w="96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(12,691)</w:t>
            </w:r>
          </w:p>
        </w:tc>
        <w:tc>
          <w:tcPr>
            <w:tcW w:w="180" w:type="dxa"/>
            <w:vAlign w:val="bottom"/>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9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(13,166)</w:t>
            </w:r>
          </w:p>
        </w:tc>
        <w:tc>
          <w:tcPr>
            <w:tcW w:w="18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(14,023)</w:t>
            </w:r>
          </w:p>
        </w:tc>
        <w:tc>
          <w:tcPr>
            <w:tcW w:w="0" w:type="dxa"/>
            <w:vAlign w:val="bottom"/>
          </w:tcPr>
          <w:p>
            <w:pPr>
              <w:spacing w:after="0"/>
              <w:rPr>
                <w:sz w:val="1"/>
                <w:szCs w:val="1"/>
                <w:color w:val="auto"/>
              </w:rPr>
            </w:pPr>
          </w:p>
        </w:tc>
      </w:tr>
      <w:tr>
        <w:trPr>
          <w:trHeight w:val="250"/>
        </w:trPr>
        <w:tc>
          <w:tcPr>
            <w:tcW w:w="140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25,721</w:t>
            </w:r>
          </w:p>
        </w:tc>
        <w:tc>
          <w:tcPr>
            <w:tcW w:w="18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24,810</w:t>
            </w:r>
          </w:p>
        </w:tc>
        <w:tc>
          <w:tcPr>
            <w:tcW w:w="160" w:type="dxa"/>
            <w:vAlign w:val="bottom"/>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22,079</w:t>
            </w:r>
          </w:p>
        </w:tc>
        <w:tc>
          <w:tcPr>
            <w:tcW w:w="180" w:type="dxa"/>
            <w:vAlign w:val="bottom"/>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9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20,998</w:t>
            </w:r>
          </w:p>
        </w:tc>
        <w:tc>
          <w:tcPr>
            <w:tcW w:w="18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18,895</w:t>
            </w:r>
          </w:p>
        </w:tc>
        <w:tc>
          <w:tcPr>
            <w:tcW w:w="0" w:type="dxa"/>
            <w:vAlign w:val="bottom"/>
          </w:tcPr>
          <w:p>
            <w:pPr>
              <w:spacing w:after="0"/>
              <w:rPr>
                <w:sz w:val="1"/>
                <w:szCs w:val="1"/>
                <w:color w:val="auto"/>
              </w:rPr>
            </w:pPr>
          </w:p>
        </w:tc>
      </w:tr>
      <w:tr>
        <w:trPr>
          <w:trHeight w:val="756"/>
        </w:trPr>
        <w:tc>
          <w:tcPr>
            <w:tcW w:w="14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3,949</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6,235</w:t>
            </w:r>
          </w:p>
        </w:tc>
        <w:tc>
          <w:tcPr>
            <w:tcW w:w="1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4,752</w:t>
            </w:r>
          </w:p>
        </w:tc>
        <w:tc>
          <w:tcPr>
            <w:tcW w:w="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4,271</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3,040</w:t>
            </w:r>
          </w:p>
        </w:tc>
        <w:tc>
          <w:tcPr>
            <w:tcW w:w="0" w:type="dxa"/>
            <w:vAlign w:val="bottom"/>
          </w:tcPr>
          <w:p>
            <w:pPr>
              <w:spacing w:after="0"/>
              <w:rPr>
                <w:sz w:val="1"/>
                <w:szCs w:val="1"/>
                <w:color w:val="auto"/>
              </w:rPr>
            </w:pPr>
          </w:p>
        </w:tc>
      </w:tr>
      <w:tr>
        <w:trPr>
          <w:trHeight w:val="256"/>
        </w:trPr>
        <w:tc>
          <w:tcPr>
            <w:tcW w:w="14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566</w:t>
            </w: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(1,347)</w:t>
            </w:r>
          </w:p>
        </w:tc>
        <w:tc>
          <w:tcPr>
            <w:tcW w:w="1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(112)</w:t>
            </w:r>
          </w:p>
        </w:tc>
        <w:tc>
          <w:tcPr>
            <w:tcW w:w="1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234</w:t>
            </w: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(71)</w:t>
            </w:r>
          </w:p>
        </w:tc>
        <w:tc>
          <w:tcPr>
            <w:tcW w:w="0" w:type="dxa"/>
            <w:vAlign w:val="bottom"/>
          </w:tcPr>
          <w:p>
            <w:pPr>
              <w:spacing w:after="0"/>
              <w:rPr>
                <w:sz w:val="1"/>
                <w:szCs w:val="1"/>
                <w:color w:val="auto"/>
              </w:rPr>
            </w:pPr>
          </w:p>
        </w:tc>
      </w:tr>
      <w:tr>
        <w:trPr>
          <w:trHeight w:val="263"/>
        </w:trPr>
        <w:tc>
          <w:tcPr>
            <w:tcW w:w="140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16</w:t>
            </w:r>
          </w:p>
        </w:tc>
        <w:tc>
          <w:tcPr>
            <w:tcW w:w="18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127</w:t>
            </w:r>
          </w:p>
        </w:tc>
        <w:tc>
          <w:tcPr>
            <w:tcW w:w="160" w:type="dxa"/>
            <w:vAlign w:val="bottom"/>
          </w:tcPr>
          <w:p>
            <w:pPr>
              <w:spacing w:after="0"/>
              <w:rPr>
                <w:sz w:val="22"/>
                <w:szCs w:val="22"/>
                <w:color w:val="auto"/>
              </w:rPr>
            </w:pPr>
          </w:p>
        </w:tc>
        <w:tc>
          <w:tcPr>
            <w:tcW w:w="160" w:type="dxa"/>
            <w:vAlign w:val="bottom"/>
            <w:tcBorders>
              <w:bottom w:val="single" w:sz="8" w:color="auto"/>
            </w:tcBorders>
          </w:tcPr>
          <w:p>
            <w:pPr>
              <w:spacing w:after="0"/>
              <w:rPr>
                <w:sz w:val="22"/>
                <w:szCs w:val="22"/>
                <w:color w:val="auto"/>
              </w:rPr>
            </w:pPr>
          </w:p>
        </w:tc>
        <w:tc>
          <w:tcPr>
            <w:tcW w:w="96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111</w:t>
            </w:r>
          </w:p>
        </w:tc>
        <w:tc>
          <w:tcPr>
            <w:tcW w:w="180" w:type="dxa"/>
            <w:vAlign w:val="bottom"/>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9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87</w:t>
            </w:r>
          </w:p>
        </w:tc>
        <w:tc>
          <w:tcPr>
            <w:tcW w:w="18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97</w:t>
            </w:r>
          </w:p>
        </w:tc>
        <w:tc>
          <w:tcPr>
            <w:tcW w:w="0" w:type="dxa"/>
            <w:vAlign w:val="bottom"/>
          </w:tcPr>
          <w:p>
            <w:pPr>
              <w:spacing w:after="0"/>
              <w:rPr>
                <w:sz w:val="1"/>
                <w:szCs w:val="1"/>
                <w:color w:val="auto"/>
              </w:rPr>
            </w:pPr>
          </w:p>
        </w:tc>
      </w:tr>
      <w:tr>
        <w:trPr>
          <w:trHeight w:val="250"/>
        </w:trPr>
        <w:tc>
          <w:tcPr>
            <w:tcW w:w="140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4,531</w:t>
            </w:r>
          </w:p>
        </w:tc>
        <w:tc>
          <w:tcPr>
            <w:tcW w:w="18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5,015</w:t>
            </w:r>
          </w:p>
        </w:tc>
        <w:tc>
          <w:tcPr>
            <w:tcW w:w="160" w:type="dxa"/>
            <w:vAlign w:val="bottom"/>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4,751</w:t>
            </w:r>
          </w:p>
        </w:tc>
        <w:tc>
          <w:tcPr>
            <w:tcW w:w="180" w:type="dxa"/>
            <w:vAlign w:val="bottom"/>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9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4,592</w:t>
            </w:r>
          </w:p>
        </w:tc>
        <w:tc>
          <w:tcPr>
            <w:tcW w:w="180" w:type="dxa"/>
            <w:vAlign w:val="bottom"/>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3,066</w:t>
            </w:r>
          </w:p>
        </w:tc>
        <w:tc>
          <w:tcPr>
            <w:tcW w:w="0" w:type="dxa"/>
            <w:vAlign w:val="bottom"/>
          </w:tcPr>
          <w:p>
            <w:pPr>
              <w:spacing w:after="0"/>
              <w:rPr>
                <w:sz w:val="1"/>
                <w:szCs w:val="1"/>
                <w:color w:val="auto"/>
              </w:rPr>
            </w:pPr>
          </w:p>
        </w:tc>
      </w:tr>
      <w:tr>
        <w:trPr>
          <w:trHeight w:val="500"/>
        </w:trPr>
        <w:tc>
          <w:tcPr>
            <w:tcW w:w="14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30,252</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29,825</w:t>
            </w:r>
          </w:p>
        </w:tc>
        <w:tc>
          <w:tcPr>
            <w:tcW w:w="1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26,830</w:t>
            </w:r>
          </w:p>
        </w:tc>
        <w:tc>
          <w:tcPr>
            <w:tcW w:w="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25,590</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21,961</w:t>
            </w:r>
          </w:p>
        </w:tc>
        <w:tc>
          <w:tcPr>
            <w:tcW w:w="0" w:type="dxa"/>
            <w:vAlign w:val="bottom"/>
          </w:tcPr>
          <w:p>
            <w:pPr>
              <w:spacing w:after="0"/>
              <w:rPr>
                <w:sz w:val="1"/>
                <w:szCs w:val="1"/>
                <w:color w:val="auto"/>
              </w:rPr>
            </w:pPr>
          </w:p>
        </w:tc>
      </w:tr>
      <w:tr>
        <w:trPr>
          <w:trHeight w:val="513"/>
        </w:trPr>
        <w:tc>
          <w:tcPr>
            <w:tcW w:w="14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(8,111)</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(173)</w:t>
            </w:r>
          </w:p>
        </w:tc>
        <w:tc>
          <w:tcPr>
            <w:tcW w:w="1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(771)</w:t>
            </w:r>
          </w:p>
        </w:tc>
        <w:tc>
          <w:tcPr>
            <w:tcW w:w="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(1,384)</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6"/>
        </w:trPr>
        <w:tc>
          <w:tcPr>
            <w:tcW w:w="14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742</w:t>
            </w:r>
          </w:p>
        </w:tc>
        <w:tc>
          <w:tcPr>
            <w:tcW w:w="1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7"/>
        </w:trPr>
        <w:tc>
          <w:tcPr>
            <w:tcW w:w="14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(11,022)</w:t>
            </w: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(10,328)</w:t>
            </w:r>
          </w:p>
        </w:tc>
        <w:tc>
          <w:tcPr>
            <w:tcW w:w="1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(10,328)</w:t>
            </w:r>
          </w:p>
        </w:tc>
        <w:tc>
          <w:tcPr>
            <w:tcW w:w="1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(10,122)</w:t>
            </w:r>
          </w:p>
        </w:tc>
        <w:tc>
          <w:tcPr>
            <w:tcW w:w="1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(9,145)</w:t>
            </w:r>
          </w:p>
        </w:tc>
        <w:tc>
          <w:tcPr>
            <w:tcW w:w="0" w:type="dxa"/>
            <w:vAlign w:val="bottom"/>
          </w:tcPr>
          <w:p>
            <w:pPr>
              <w:spacing w:after="0"/>
              <w:rPr>
                <w:sz w:val="1"/>
                <w:szCs w:val="1"/>
                <w:color w:val="auto"/>
              </w:rPr>
            </w:pPr>
          </w:p>
        </w:tc>
      </w:tr>
      <w:tr>
        <w:trPr>
          <w:trHeight w:val="270"/>
        </w:trPr>
        <w:tc>
          <w:tcPr>
            <w:tcW w:w="1400" w:type="dxa"/>
            <w:vAlign w:val="bottom"/>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00" w:type="dxa"/>
            <w:vAlign w:val="bottom"/>
            <w:tcBorders>
              <w:bottom w:val="single" w:sz="8" w:color="auto"/>
            </w:tcBorders>
          </w:tcPr>
          <w:p>
            <w:pPr>
              <w:spacing w:after="0"/>
              <w:rPr>
                <w:sz w:val="23"/>
                <w:szCs w:val="23"/>
                <w:color w:val="auto"/>
              </w:rPr>
            </w:pPr>
          </w:p>
        </w:tc>
        <w:tc>
          <w:tcPr>
            <w:tcW w:w="180" w:type="dxa"/>
            <w:vAlign w:val="bottom"/>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00" w:type="dxa"/>
            <w:vAlign w:val="bottom"/>
            <w:tcBorders>
              <w:bottom w:val="single" w:sz="8" w:color="auto"/>
            </w:tcBorders>
          </w:tcPr>
          <w:p>
            <w:pPr>
              <w:spacing w:after="0"/>
              <w:rPr>
                <w:sz w:val="23"/>
                <w:szCs w:val="23"/>
                <w:color w:val="auto"/>
              </w:rPr>
            </w:pPr>
          </w:p>
        </w:tc>
        <w:tc>
          <w:tcPr>
            <w:tcW w:w="160" w:type="dxa"/>
            <w:vAlign w:val="bottom"/>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960" w:type="dxa"/>
            <w:vAlign w:val="bottom"/>
            <w:tcBorders>
              <w:bottom w:val="single" w:sz="8" w:color="auto"/>
            </w:tcBorders>
          </w:tcPr>
          <w:p>
            <w:pPr>
              <w:spacing w:after="0"/>
              <w:rPr>
                <w:sz w:val="23"/>
                <w:szCs w:val="23"/>
                <w:color w:val="auto"/>
              </w:rPr>
            </w:pPr>
          </w:p>
        </w:tc>
        <w:tc>
          <w:tcPr>
            <w:tcW w:w="180" w:type="dxa"/>
            <w:vAlign w:val="bottom"/>
          </w:tcPr>
          <w:p>
            <w:pPr>
              <w:spacing w:after="0"/>
              <w:rPr>
                <w:sz w:val="23"/>
                <w:szCs w:val="23"/>
                <w:color w:val="auto"/>
              </w:rPr>
            </w:pPr>
          </w:p>
        </w:tc>
        <w:tc>
          <w:tcPr>
            <w:tcW w:w="140" w:type="dxa"/>
            <w:vAlign w:val="bottom"/>
            <w:tcBorders>
              <w:bottom w:val="single" w:sz="8" w:color="auto"/>
            </w:tcBorders>
          </w:tcPr>
          <w:p>
            <w:pPr>
              <w:spacing w:after="0"/>
              <w:rPr>
                <w:sz w:val="23"/>
                <w:szCs w:val="23"/>
                <w:color w:val="auto"/>
              </w:rPr>
            </w:pPr>
          </w:p>
        </w:tc>
        <w:tc>
          <w:tcPr>
            <w:tcW w:w="980" w:type="dxa"/>
            <w:vAlign w:val="bottom"/>
            <w:tcBorders>
              <w:bottom w:val="single" w:sz="8" w:color="auto"/>
            </w:tcBorders>
          </w:tcPr>
          <w:p>
            <w:pPr>
              <w:spacing w:after="0"/>
              <w:rPr>
                <w:sz w:val="23"/>
                <w:szCs w:val="23"/>
                <w:color w:val="auto"/>
              </w:rPr>
            </w:pPr>
          </w:p>
        </w:tc>
        <w:tc>
          <w:tcPr>
            <w:tcW w:w="180" w:type="dxa"/>
            <w:vAlign w:val="bottom"/>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00" w:type="dxa"/>
            <w:vAlign w:val="bottom"/>
            <w:tcBorders>
              <w:bottom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44"/>
        </w:trPr>
        <w:tc>
          <w:tcPr>
            <w:tcW w:w="15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11,119</w:t>
            </w:r>
          </w:p>
        </w:tc>
        <w:tc>
          <w:tcPr>
            <w:tcW w:w="180" w:type="dxa"/>
            <w:vAlign w:val="bottom"/>
          </w:tcPr>
          <w:p>
            <w:pPr>
              <w:spacing w:after="0"/>
              <w:rPr>
                <w:sz w:val="21"/>
                <w:szCs w:val="21"/>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20,066</w:t>
            </w:r>
          </w:p>
        </w:tc>
        <w:tc>
          <w:tcPr>
            <w:tcW w:w="16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15,731</w:t>
            </w:r>
          </w:p>
        </w:tc>
        <w:tc>
          <w:tcPr>
            <w:tcW w:w="180" w:type="dxa"/>
            <w:vAlign w:val="bottom"/>
          </w:tcPr>
          <w:p>
            <w:pPr>
              <w:spacing w:after="0"/>
              <w:rPr>
                <w:sz w:val="21"/>
                <w:szCs w:val="21"/>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14,084</w:t>
            </w:r>
          </w:p>
        </w:tc>
        <w:tc>
          <w:tcPr>
            <w:tcW w:w="180" w:type="dxa"/>
            <w:vAlign w:val="bottom"/>
          </w:tcPr>
          <w:p>
            <w:pPr>
              <w:spacing w:after="0"/>
              <w:rPr>
                <w:sz w:val="21"/>
                <w:szCs w:val="21"/>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12,816</w:t>
            </w:r>
          </w:p>
        </w:tc>
        <w:tc>
          <w:tcPr>
            <w:tcW w:w="0" w:type="dxa"/>
            <w:vAlign w:val="bottom"/>
          </w:tcPr>
          <w:p>
            <w:pPr>
              <w:spacing w:after="0"/>
              <w:rPr>
                <w:sz w:val="1"/>
                <w:szCs w:val="1"/>
                <w:color w:val="auto"/>
              </w:rPr>
            </w:pPr>
          </w:p>
        </w:tc>
      </w:tr>
      <w:tr>
        <w:trPr>
          <w:trHeight w:val="27"/>
        </w:trPr>
        <w:tc>
          <w:tcPr>
            <w:tcW w:w="1400" w:type="dxa"/>
            <w:vAlign w:val="bottom"/>
          </w:tcPr>
          <w:p>
            <w:pPr>
              <w:spacing w:after="0"/>
              <w:rPr>
                <w:sz w:val="2"/>
                <w:szCs w:val="2"/>
                <w:color w:val="auto"/>
              </w:rPr>
            </w:pPr>
          </w:p>
        </w:tc>
        <w:tc>
          <w:tcPr>
            <w:tcW w:w="120" w:type="dxa"/>
            <w:vAlign w:val="bottom"/>
            <w:tcBorders>
              <w:top w:val="single" w:sz="8" w:color="auto"/>
              <w:bottom w:val="single" w:sz="8" w:color="auto"/>
            </w:tcBorders>
          </w:tcPr>
          <w:p>
            <w:pPr>
              <w:spacing w:after="0"/>
              <w:rPr>
                <w:sz w:val="2"/>
                <w:szCs w:val="2"/>
                <w:color w:val="auto"/>
              </w:rPr>
            </w:pPr>
          </w:p>
        </w:tc>
        <w:tc>
          <w:tcPr>
            <w:tcW w:w="1000" w:type="dxa"/>
            <w:vAlign w:val="bottom"/>
            <w:tcBorders>
              <w:top w:val="single" w:sz="8" w:color="auto"/>
              <w:bottom w:val="single" w:sz="8" w:color="auto"/>
            </w:tcBorders>
          </w:tcPr>
          <w:p>
            <w:pPr>
              <w:spacing w:after="0"/>
              <w:rPr>
                <w:sz w:val="2"/>
                <w:szCs w:val="2"/>
                <w:color w:val="auto"/>
              </w:rPr>
            </w:pPr>
          </w:p>
        </w:tc>
        <w:tc>
          <w:tcPr>
            <w:tcW w:w="180" w:type="dxa"/>
            <w:vAlign w:val="bottom"/>
          </w:tcPr>
          <w:p>
            <w:pPr>
              <w:spacing w:after="0"/>
              <w:rPr>
                <w:sz w:val="2"/>
                <w:szCs w:val="2"/>
                <w:color w:val="auto"/>
              </w:rPr>
            </w:pPr>
          </w:p>
        </w:tc>
        <w:tc>
          <w:tcPr>
            <w:tcW w:w="120" w:type="dxa"/>
            <w:vAlign w:val="bottom"/>
            <w:tcBorders>
              <w:top w:val="single" w:sz="8" w:color="auto"/>
              <w:bottom w:val="single" w:sz="8" w:color="auto"/>
            </w:tcBorders>
          </w:tcPr>
          <w:p>
            <w:pPr>
              <w:spacing w:after="0"/>
              <w:rPr>
                <w:sz w:val="2"/>
                <w:szCs w:val="2"/>
                <w:color w:val="auto"/>
              </w:rPr>
            </w:pPr>
          </w:p>
        </w:tc>
        <w:tc>
          <w:tcPr>
            <w:tcW w:w="1000" w:type="dxa"/>
            <w:vAlign w:val="bottom"/>
            <w:tcBorders>
              <w:top w:val="single" w:sz="8" w:color="auto"/>
              <w:bottom w:val="single" w:sz="8" w:color="auto"/>
            </w:tcBorders>
          </w:tcPr>
          <w:p>
            <w:pPr>
              <w:spacing w:after="0"/>
              <w:rPr>
                <w:sz w:val="2"/>
                <w:szCs w:val="2"/>
                <w:color w:val="auto"/>
              </w:rPr>
            </w:pPr>
          </w:p>
        </w:tc>
        <w:tc>
          <w:tcPr>
            <w:tcW w:w="160" w:type="dxa"/>
            <w:vAlign w:val="bottom"/>
          </w:tcPr>
          <w:p>
            <w:pPr>
              <w:spacing w:after="0"/>
              <w:rPr>
                <w:sz w:val="2"/>
                <w:szCs w:val="2"/>
                <w:color w:val="auto"/>
              </w:rPr>
            </w:pPr>
          </w:p>
        </w:tc>
        <w:tc>
          <w:tcPr>
            <w:tcW w:w="160" w:type="dxa"/>
            <w:vAlign w:val="bottom"/>
            <w:tcBorders>
              <w:top w:val="single" w:sz="8" w:color="auto"/>
              <w:bottom w:val="single" w:sz="8" w:color="auto"/>
            </w:tcBorders>
          </w:tcPr>
          <w:p>
            <w:pPr>
              <w:spacing w:after="0"/>
              <w:rPr>
                <w:sz w:val="2"/>
                <w:szCs w:val="2"/>
                <w:color w:val="auto"/>
              </w:rPr>
            </w:pPr>
          </w:p>
        </w:tc>
        <w:tc>
          <w:tcPr>
            <w:tcW w:w="960" w:type="dxa"/>
            <w:vAlign w:val="bottom"/>
            <w:tcBorders>
              <w:top w:val="single" w:sz="8" w:color="auto"/>
              <w:bottom w:val="single" w:sz="8" w:color="auto"/>
            </w:tcBorders>
          </w:tcPr>
          <w:p>
            <w:pPr>
              <w:spacing w:after="0"/>
              <w:rPr>
                <w:sz w:val="2"/>
                <w:szCs w:val="2"/>
                <w:color w:val="auto"/>
              </w:rPr>
            </w:pPr>
          </w:p>
        </w:tc>
        <w:tc>
          <w:tcPr>
            <w:tcW w:w="180" w:type="dxa"/>
            <w:vAlign w:val="bottom"/>
          </w:tcPr>
          <w:p>
            <w:pPr>
              <w:spacing w:after="0"/>
              <w:rPr>
                <w:sz w:val="2"/>
                <w:szCs w:val="2"/>
                <w:color w:val="auto"/>
              </w:rPr>
            </w:pPr>
          </w:p>
        </w:tc>
        <w:tc>
          <w:tcPr>
            <w:tcW w:w="140" w:type="dxa"/>
            <w:vAlign w:val="bottom"/>
            <w:tcBorders>
              <w:top w:val="single" w:sz="8" w:color="auto"/>
              <w:bottom w:val="single" w:sz="8" w:color="auto"/>
            </w:tcBorders>
          </w:tcPr>
          <w:p>
            <w:pPr>
              <w:spacing w:after="0"/>
              <w:rPr>
                <w:sz w:val="2"/>
                <w:szCs w:val="2"/>
                <w:color w:val="auto"/>
              </w:rPr>
            </w:pPr>
          </w:p>
        </w:tc>
        <w:tc>
          <w:tcPr>
            <w:tcW w:w="980" w:type="dxa"/>
            <w:vAlign w:val="bottom"/>
            <w:tcBorders>
              <w:top w:val="single" w:sz="8" w:color="auto"/>
              <w:bottom w:val="single" w:sz="8" w:color="auto"/>
            </w:tcBorders>
          </w:tcPr>
          <w:p>
            <w:pPr>
              <w:spacing w:after="0"/>
              <w:rPr>
                <w:sz w:val="2"/>
                <w:szCs w:val="2"/>
                <w:color w:val="auto"/>
              </w:rPr>
            </w:pPr>
          </w:p>
        </w:tc>
        <w:tc>
          <w:tcPr>
            <w:tcW w:w="180" w:type="dxa"/>
            <w:vAlign w:val="bottom"/>
          </w:tcPr>
          <w:p>
            <w:pPr>
              <w:spacing w:after="0"/>
              <w:rPr>
                <w:sz w:val="2"/>
                <w:szCs w:val="2"/>
                <w:color w:val="auto"/>
              </w:rPr>
            </w:pPr>
          </w:p>
        </w:tc>
        <w:tc>
          <w:tcPr>
            <w:tcW w:w="120" w:type="dxa"/>
            <w:vAlign w:val="bottom"/>
            <w:tcBorders>
              <w:top w:val="single" w:sz="8" w:color="auto"/>
              <w:bottom w:val="single" w:sz="8" w:color="auto"/>
            </w:tcBorders>
          </w:tcPr>
          <w:p>
            <w:pPr>
              <w:spacing w:after="0"/>
              <w:rPr>
                <w:sz w:val="2"/>
                <w:szCs w:val="2"/>
                <w:color w:val="auto"/>
              </w:rPr>
            </w:pPr>
          </w:p>
        </w:tc>
        <w:tc>
          <w:tcPr>
            <w:tcW w:w="1000" w:type="dxa"/>
            <w:vAlign w:val="bottom"/>
            <w:tcBorders>
              <w:top w:val="single" w:sz="8" w:color="auto"/>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-2242185</wp:posOffset>
            </wp:positionH>
            <wp:positionV relativeFrom="paragraph">
              <wp:posOffset>-3016885</wp:posOffset>
            </wp:positionV>
            <wp:extent cx="7132320" cy="1714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171450"/>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-2682240</wp:posOffset>
            </wp:positionV>
            <wp:extent cx="7132320" cy="16319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16319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-2348230</wp:posOffset>
            </wp:positionV>
            <wp:extent cx="7132320" cy="1714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171450"/>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-2013585</wp:posOffset>
            </wp:positionV>
            <wp:extent cx="7132320" cy="16319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16319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-1688465</wp:posOffset>
            </wp:positionV>
            <wp:extent cx="7132320" cy="16319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16319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-1353820</wp:posOffset>
            </wp:positionV>
            <wp:extent cx="7132320" cy="1714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171450"/>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-1019175</wp:posOffset>
            </wp:positionV>
            <wp:extent cx="7132320" cy="16256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162560"/>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-693420</wp:posOffset>
            </wp:positionV>
            <wp:extent cx="7132320" cy="16256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162560"/>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-367665</wp:posOffset>
            </wp:positionV>
            <wp:extent cx="7132320" cy="16256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162560"/>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-16510</wp:posOffset>
            </wp:positionV>
            <wp:extent cx="7132320" cy="1797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17970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325755</wp:posOffset>
            </wp:positionV>
            <wp:extent cx="7132320" cy="16319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16319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651510</wp:posOffset>
            </wp:positionV>
            <wp:extent cx="7132320" cy="16319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163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tbl>
      <w:tblPr>
        <w:tblLayout w:type="fixed"/>
        <w:tblInd w:w="1420" w:type="dxa"/>
        <w:tblCellMar>
          <w:top w:w="0" w:type="dxa"/>
          <w:left w:w="0" w:type="dxa"/>
          <w:bottom w:w="0" w:type="dxa"/>
          <w:right w:w="0" w:type="dxa"/>
        </w:tblCellMar>
      </w:tblPr>
      <w:tr>
        <w:trPr>
          <w:trHeight w:val="234"/>
        </w:trPr>
        <w:tc>
          <w:tcPr>
            <w:tcW w:w="320" w:type="dxa"/>
            <w:vAlign w:val="bottom"/>
          </w:tcPr>
          <w:p>
            <w:pPr>
              <w:jc w:val="right"/>
              <w:ind w:right="156"/>
              <w:spacing w:after="0"/>
              <w:rPr>
                <w:sz w:val="20"/>
                <w:szCs w:val="20"/>
                <w:color w:val="auto"/>
              </w:rPr>
            </w:pPr>
            <w:r>
              <w:rPr>
                <w:rFonts w:ascii="Times New Roman" w:cs="Times New Roman" w:eastAsia="Times New Roman" w:hAnsi="Times New Roman"/>
                <w:sz w:val="17"/>
                <w:szCs w:val="17"/>
                <w:color w:val="auto"/>
                <w:w w:val="70"/>
              </w:rPr>
              <w:t>$</w:t>
            </w:r>
          </w:p>
        </w:tc>
        <w:tc>
          <w:tcPr>
            <w:tcW w:w="860" w:type="dxa"/>
            <w:vAlign w:val="bottom"/>
          </w:tcPr>
          <w:p>
            <w:pPr>
              <w:jc w:val="right"/>
              <w:ind w:right="210"/>
              <w:spacing w:after="0"/>
              <w:rPr>
                <w:sz w:val="20"/>
                <w:szCs w:val="20"/>
                <w:color w:val="auto"/>
              </w:rPr>
            </w:pPr>
            <w:r>
              <w:rPr>
                <w:rFonts w:ascii="Times New Roman" w:cs="Times New Roman" w:eastAsia="Times New Roman" w:hAnsi="Times New Roman"/>
                <w:sz w:val="18"/>
                <w:szCs w:val="18"/>
                <w:color w:val="auto"/>
              </w:rPr>
              <w:t>0.31</w:t>
            </w:r>
          </w:p>
        </w:tc>
        <w:tc>
          <w:tcPr>
            <w:tcW w:w="44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w:t>
            </w:r>
          </w:p>
        </w:tc>
        <w:tc>
          <w:tcPr>
            <w:tcW w:w="860" w:type="dxa"/>
            <w:vAlign w:val="bottom"/>
          </w:tcPr>
          <w:p>
            <w:pPr>
              <w:jc w:val="right"/>
              <w:ind w:right="210"/>
              <w:spacing w:after="0"/>
              <w:rPr>
                <w:sz w:val="20"/>
                <w:szCs w:val="20"/>
                <w:color w:val="auto"/>
              </w:rPr>
            </w:pPr>
            <w:r>
              <w:rPr>
                <w:rFonts w:ascii="Times New Roman" w:cs="Times New Roman" w:eastAsia="Times New Roman" w:hAnsi="Times New Roman"/>
                <w:sz w:val="18"/>
                <w:szCs w:val="18"/>
                <w:color w:val="auto"/>
              </w:rPr>
              <w:t>0.54</w:t>
            </w:r>
          </w:p>
        </w:tc>
        <w:tc>
          <w:tcPr>
            <w:tcW w:w="44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w:t>
            </w:r>
          </w:p>
        </w:tc>
        <w:tc>
          <w:tcPr>
            <w:tcW w:w="860" w:type="dxa"/>
            <w:vAlign w:val="bottom"/>
          </w:tcPr>
          <w:p>
            <w:pPr>
              <w:jc w:val="right"/>
              <w:ind w:right="230"/>
              <w:spacing w:after="0"/>
              <w:rPr>
                <w:sz w:val="20"/>
                <w:szCs w:val="20"/>
                <w:color w:val="auto"/>
              </w:rPr>
            </w:pPr>
            <w:r>
              <w:rPr>
                <w:rFonts w:ascii="Times New Roman" w:cs="Times New Roman" w:eastAsia="Times New Roman" w:hAnsi="Times New Roman"/>
                <w:sz w:val="18"/>
                <w:szCs w:val="18"/>
                <w:color w:val="auto"/>
              </w:rPr>
              <w:t>0.41</w:t>
            </w:r>
          </w:p>
        </w:tc>
        <w:tc>
          <w:tcPr>
            <w:tcW w:w="44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w:t>
            </w:r>
          </w:p>
        </w:tc>
        <w:tc>
          <w:tcPr>
            <w:tcW w:w="860" w:type="dxa"/>
            <w:vAlign w:val="bottom"/>
          </w:tcPr>
          <w:p>
            <w:pPr>
              <w:jc w:val="right"/>
              <w:ind w:right="230"/>
              <w:spacing w:after="0"/>
              <w:rPr>
                <w:sz w:val="20"/>
                <w:szCs w:val="20"/>
                <w:color w:val="auto"/>
              </w:rPr>
            </w:pPr>
            <w:r>
              <w:rPr>
                <w:rFonts w:ascii="Times New Roman" w:cs="Times New Roman" w:eastAsia="Times New Roman" w:hAnsi="Times New Roman"/>
                <w:sz w:val="18"/>
                <w:szCs w:val="18"/>
                <w:color w:val="auto"/>
              </w:rPr>
              <w:t>0.36</w:t>
            </w:r>
          </w:p>
        </w:tc>
        <w:tc>
          <w:tcPr>
            <w:tcW w:w="42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Pr>
          <w:p>
            <w:pPr>
              <w:jc w:val="right"/>
              <w:ind w:right="110"/>
              <w:spacing w:after="0"/>
              <w:rPr>
                <w:sz w:val="20"/>
                <w:szCs w:val="20"/>
                <w:color w:val="auto"/>
              </w:rPr>
            </w:pPr>
            <w:r>
              <w:rPr>
                <w:rFonts w:ascii="Times New Roman" w:cs="Times New Roman" w:eastAsia="Times New Roman" w:hAnsi="Times New Roman"/>
                <w:sz w:val="18"/>
                <w:szCs w:val="18"/>
                <w:color w:val="auto"/>
              </w:rPr>
              <w:t>0.32</w:t>
            </w:r>
          </w:p>
        </w:tc>
      </w:tr>
      <w:tr>
        <w:trPr>
          <w:trHeight w:val="769"/>
        </w:trPr>
        <w:tc>
          <w:tcPr>
            <w:tcW w:w="320" w:type="dxa"/>
            <w:vAlign w:val="bottom"/>
          </w:tcPr>
          <w:p>
            <w:pPr>
              <w:spacing w:after="0"/>
              <w:rPr>
                <w:sz w:val="24"/>
                <w:szCs w:val="24"/>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0.6 %</w:t>
            </w:r>
          </w:p>
        </w:tc>
        <w:tc>
          <w:tcPr>
            <w:tcW w:w="440" w:type="dxa"/>
            <w:vAlign w:val="bottom"/>
          </w:tcPr>
          <w:p>
            <w:pPr>
              <w:spacing w:after="0"/>
              <w:rPr>
                <w:sz w:val="24"/>
                <w:szCs w:val="24"/>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1.1 %</w:t>
            </w:r>
          </w:p>
        </w:tc>
        <w:tc>
          <w:tcPr>
            <w:tcW w:w="440" w:type="dxa"/>
            <w:vAlign w:val="bottom"/>
          </w:tcPr>
          <w:p>
            <w:pPr>
              <w:spacing w:after="0"/>
              <w:rPr>
                <w:sz w:val="24"/>
                <w:szCs w:val="24"/>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0.9 %</w:t>
            </w:r>
          </w:p>
        </w:tc>
        <w:tc>
          <w:tcPr>
            <w:tcW w:w="440" w:type="dxa"/>
            <w:vAlign w:val="bottom"/>
          </w:tcPr>
          <w:p>
            <w:pPr>
              <w:spacing w:after="0"/>
              <w:rPr>
                <w:sz w:val="24"/>
                <w:szCs w:val="24"/>
                <w:color w:val="auto"/>
              </w:rPr>
            </w:pPr>
          </w:p>
        </w:tc>
        <w:tc>
          <w:tcPr>
            <w:tcW w:w="8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0.8 %</w:t>
            </w:r>
          </w:p>
        </w:tc>
        <w:tc>
          <w:tcPr>
            <w:tcW w:w="420" w:type="dxa"/>
            <w:vAlign w:val="bottom"/>
          </w:tcPr>
          <w:p>
            <w:pPr>
              <w:spacing w:after="0"/>
              <w:rPr>
                <w:sz w:val="24"/>
                <w:szCs w:val="2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0.8 %</w:t>
            </w:r>
          </w:p>
        </w:tc>
      </w:tr>
      <w:tr>
        <w:trPr>
          <w:trHeight w:val="257"/>
        </w:trPr>
        <w:tc>
          <w:tcPr>
            <w:tcW w:w="32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4.5 %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7.9 %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6.1 %</w:t>
            </w:r>
          </w:p>
        </w:tc>
        <w:tc>
          <w:tcPr>
            <w:tcW w:w="440" w:type="dxa"/>
            <w:vAlign w:val="bottom"/>
          </w:tcPr>
          <w:p>
            <w:pPr>
              <w:spacing w:after="0"/>
              <w:rPr>
                <w:sz w:val="22"/>
                <w:szCs w:val="22"/>
                <w:color w:val="auto"/>
              </w:rPr>
            </w:pPr>
          </w:p>
        </w:tc>
        <w:tc>
          <w:tcPr>
            <w:tcW w:w="8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5.4 %</w:t>
            </w:r>
          </w:p>
        </w:tc>
        <w:tc>
          <w:tcPr>
            <w:tcW w:w="42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5.0 %</w:t>
            </w:r>
          </w:p>
        </w:tc>
      </w:tr>
      <w:tr>
        <w:trPr>
          <w:trHeight w:val="256"/>
        </w:trPr>
        <w:tc>
          <w:tcPr>
            <w:tcW w:w="32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1.32 %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1.42 %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1.33 %</w:t>
            </w:r>
          </w:p>
        </w:tc>
        <w:tc>
          <w:tcPr>
            <w:tcW w:w="440" w:type="dxa"/>
            <w:vAlign w:val="bottom"/>
          </w:tcPr>
          <w:p>
            <w:pPr>
              <w:spacing w:after="0"/>
              <w:rPr>
                <w:sz w:val="22"/>
                <w:szCs w:val="22"/>
                <w:color w:val="auto"/>
              </w:rPr>
            </w:pPr>
          </w:p>
        </w:tc>
        <w:tc>
          <w:tcPr>
            <w:tcW w:w="8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1.27 %</w:t>
            </w:r>
          </w:p>
        </w:tc>
        <w:tc>
          <w:tcPr>
            <w:tcW w:w="42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1.24 %</w:t>
            </w:r>
          </w:p>
        </w:tc>
      </w:tr>
      <w:tr>
        <w:trPr>
          <w:trHeight w:val="257"/>
        </w:trPr>
        <w:tc>
          <w:tcPr>
            <w:tcW w:w="32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1.15 %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1.26 %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1.17 %</w:t>
            </w:r>
          </w:p>
        </w:tc>
        <w:tc>
          <w:tcPr>
            <w:tcW w:w="440" w:type="dxa"/>
            <w:vAlign w:val="bottom"/>
          </w:tcPr>
          <w:p>
            <w:pPr>
              <w:spacing w:after="0"/>
              <w:rPr>
                <w:sz w:val="22"/>
                <w:szCs w:val="22"/>
                <w:color w:val="auto"/>
              </w:rPr>
            </w:pPr>
          </w:p>
        </w:tc>
        <w:tc>
          <w:tcPr>
            <w:tcW w:w="8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1.11 %</w:t>
            </w:r>
          </w:p>
        </w:tc>
        <w:tc>
          <w:tcPr>
            <w:tcW w:w="42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1.04 %</w:t>
            </w:r>
          </w:p>
        </w:tc>
      </w:tr>
      <w:tr>
        <w:trPr>
          <w:trHeight w:val="257"/>
        </w:trPr>
        <w:tc>
          <w:tcPr>
            <w:tcW w:w="32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36.4 %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34.6 %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38.5 %</w:t>
            </w:r>
          </w:p>
        </w:tc>
        <w:tc>
          <w:tcPr>
            <w:tcW w:w="440" w:type="dxa"/>
            <w:vAlign w:val="bottom"/>
          </w:tcPr>
          <w:p>
            <w:pPr>
              <w:spacing w:after="0"/>
              <w:rPr>
                <w:sz w:val="22"/>
                <w:szCs w:val="22"/>
                <w:color w:val="auto"/>
              </w:rPr>
            </w:pPr>
          </w:p>
        </w:tc>
        <w:tc>
          <w:tcPr>
            <w:tcW w:w="8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39.6 %</w:t>
            </w:r>
          </w:p>
        </w:tc>
        <w:tc>
          <w:tcPr>
            <w:tcW w:w="42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41.6 %</w:t>
            </w:r>
          </w:p>
        </w:tc>
      </w:tr>
      <w:tr>
        <w:trPr>
          <w:trHeight w:val="256"/>
        </w:trPr>
        <w:tc>
          <w:tcPr>
            <w:tcW w:w="32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0.55 %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0.58 %</w:t>
            </w:r>
          </w:p>
        </w:tc>
        <w:tc>
          <w:tcPr>
            <w:tcW w:w="440" w:type="dxa"/>
            <w:vAlign w:val="bottom"/>
          </w:tcPr>
          <w:p>
            <w:pPr>
              <w:spacing w:after="0"/>
              <w:rPr>
                <w:sz w:val="22"/>
                <w:szCs w:val="22"/>
                <w:color w:val="auto"/>
              </w:rPr>
            </w:pPr>
          </w:p>
        </w:tc>
        <w:tc>
          <w:tcPr>
            <w:tcW w:w="86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rPr>
              <w:t>0.61 %</w:t>
            </w:r>
          </w:p>
        </w:tc>
        <w:tc>
          <w:tcPr>
            <w:tcW w:w="440" w:type="dxa"/>
            <w:vAlign w:val="bottom"/>
          </w:tcPr>
          <w:p>
            <w:pPr>
              <w:spacing w:after="0"/>
              <w:rPr>
                <w:sz w:val="22"/>
                <w:szCs w:val="22"/>
                <w:color w:val="auto"/>
              </w:rPr>
            </w:pPr>
          </w:p>
        </w:tc>
        <w:tc>
          <w:tcPr>
            <w:tcW w:w="86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0.60 %</w:t>
            </w:r>
          </w:p>
        </w:tc>
        <w:tc>
          <w:tcPr>
            <w:tcW w:w="42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0.59 %</w:t>
            </w:r>
          </w:p>
        </w:tc>
      </w:tr>
      <w:tr>
        <w:trPr>
          <w:trHeight w:val="810"/>
        </w:trPr>
        <w:tc>
          <w:tcPr>
            <w:tcW w:w="3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-2242185</wp:posOffset>
            </wp:positionH>
            <wp:positionV relativeFrom="paragraph">
              <wp:posOffset>-1645285</wp:posOffset>
            </wp:positionV>
            <wp:extent cx="7132320" cy="16319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16319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-1319530</wp:posOffset>
            </wp:positionV>
            <wp:extent cx="7132320" cy="16319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16319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-993775</wp:posOffset>
            </wp:positionV>
            <wp:extent cx="7132320" cy="16319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163195"/>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-668020</wp:posOffset>
            </wp:positionV>
            <wp:extent cx="7132320" cy="16256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162560"/>
                    </a:xfrm>
                    <a:prstGeom prst="rect">
                      <a:avLst/>
                    </a:prstGeom>
                    <a:noFill/>
                  </pic:spPr>
                </pic:pic>
              </a:graphicData>
            </a:graphic>
          </wp:anchor>
        </w:drawing>
        <w:drawing>
          <wp:anchor simplePos="0" relativeHeight="251657728" behindDoc="1" locked="0" layoutInCell="0" allowOverlap="1">
            <wp:simplePos x="0" y="0"/>
            <wp:positionH relativeFrom="column">
              <wp:posOffset>-2242185</wp:posOffset>
            </wp:positionH>
            <wp:positionV relativeFrom="paragraph">
              <wp:posOffset>0</wp:posOffset>
            </wp:positionV>
            <wp:extent cx="71323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2">
            <w:col w:w="3040" w:space="480"/>
            <w:col w:w="7700"/>
          </w:cols>
          <w:pgMar w:left="340" w:top="1440" w:right="339" w:bottom="1440" w:gutter="0" w:footer="0" w:header="0"/>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80" w:type="dxa"/>
            <w:vAlign w:val="bottom"/>
          </w:tcPr>
          <w:p>
            <w:pPr>
              <w:spacing w:after="0"/>
              <w:rPr>
                <w:sz w:val="20"/>
                <w:szCs w:val="20"/>
                <w:color w:val="auto"/>
              </w:rPr>
            </w:pPr>
          </w:p>
        </w:tc>
        <w:tc>
          <w:tcPr>
            <w:tcW w:w="3800" w:type="dxa"/>
            <w:vAlign w:val="bottom"/>
            <w:gridSpan w:val="2"/>
            <w:vMerge w:val="restart"/>
          </w:tcPr>
          <w:p>
            <w:pPr>
              <w:jc w:val="right"/>
              <w:ind w:right="520"/>
              <w:spacing w:after="0"/>
              <w:rPr>
                <w:sz w:val="20"/>
                <w:szCs w:val="20"/>
                <w:color w:val="auto"/>
              </w:rPr>
            </w:pPr>
            <w:r>
              <w:rPr>
                <w:rFonts w:ascii="Times New Roman" w:cs="Times New Roman" w:eastAsia="Times New Roman" w:hAnsi="Times New Roman"/>
                <w:sz w:val="18"/>
                <w:szCs w:val="18"/>
                <w:color w:val="auto"/>
              </w:rPr>
              <w:t>BUSINESS SEGMENT ANALYSIS</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EXHIBIT V</w:t>
            </w:r>
          </w:p>
        </w:tc>
        <w:tc>
          <w:tcPr>
            <w:tcW w:w="0" w:type="dxa"/>
            <w:vAlign w:val="bottom"/>
          </w:tcPr>
          <w:p>
            <w:pPr>
              <w:spacing w:after="0"/>
              <w:rPr>
                <w:sz w:val="1"/>
                <w:szCs w:val="1"/>
                <w:color w:val="auto"/>
              </w:rPr>
            </w:pPr>
          </w:p>
        </w:tc>
      </w:tr>
      <w:tr>
        <w:trPr>
          <w:trHeight w:val="184"/>
        </w:trPr>
        <w:tc>
          <w:tcPr>
            <w:tcW w:w="3680" w:type="dxa"/>
            <w:vAlign w:val="bottom"/>
          </w:tcPr>
          <w:p>
            <w:pPr>
              <w:spacing w:after="0"/>
              <w:rPr>
                <w:sz w:val="16"/>
                <w:szCs w:val="16"/>
                <w:color w:val="auto"/>
              </w:rPr>
            </w:pPr>
          </w:p>
        </w:tc>
        <w:tc>
          <w:tcPr>
            <w:tcW w:w="3800" w:type="dxa"/>
            <w:vAlign w:val="bottom"/>
            <w:gridSpan w:val="2"/>
            <w:vMerge w:val="continue"/>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680" w:type="dxa"/>
            <w:vAlign w:val="bottom"/>
          </w:tcPr>
          <w:p>
            <w:pPr>
              <w:spacing w:after="0"/>
              <w:rPr>
                <w:sz w:val="20"/>
                <w:szCs w:val="20"/>
                <w:color w:val="auto"/>
              </w:rPr>
            </w:pPr>
          </w:p>
        </w:tc>
        <w:tc>
          <w:tcPr>
            <w:tcW w:w="3800" w:type="dxa"/>
            <w:vAlign w:val="bottom"/>
            <w:gridSpan w:val="2"/>
          </w:tcPr>
          <w:p>
            <w:pPr>
              <w:jc w:val="right"/>
              <w:ind w:right="1200"/>
              <w:spacing w:after="0"/>
              <w:rPr>
                <w:sz w:val="20"/>
                <w:szCs w:val="20"/>
                <w:color w:val="auto"/>
              </w:rPr>
            </w:pPr>
            <w:r>
              <w:rPr>
                <w:rFonts w:ascii="Times New Roman" w:cs="Times New Roman" w:eastAsia="Times New Roman" w:hAnsi="Times New Roman"/>
                <w:sz w:val="18"/>
                <w:szCs w:val="18"/>
                <w:color w:val="auto"/>
              </w:rPr>
              <w:t>(In US$ thousand)</w:t>
            </w: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3680" w:type="dxa"/>
            <w:vAlign w:val="bottom"/>
          </w:tcPr>
          <w:p>
            <w:pPr>
              <w:spacing w:after="0"/>
              <w:rPr>
                <w:sz w:val="22"/>
                <w:szCs w:val="22"/>
                <w:color w:val="auto"/>
              </w:rPr>
            </w:pPr>
          </w:p>
        </w:tc>
        <w:tc>
          <w:tcPr>
            <w:tcW w:w="3640" w:type="dxa"/>
            <w:vAlign w:val="bottom"/>
          </w:tcPr>
          <w:p>
            <w:pPr>
              <w:spacing w:after="0"/>
              <w:rPr>
                <w:sz w:val="22"/>
                <w:szCs w:val="22"/>
                <w:color w:val="auto"/>
              </w:rPr>
            </w:pPr>
          </w:p>
        </w:tc>
        <w:tc>
          <w:tcPr>
            <w:tcW w:w="160" w:type="dxa"/>
            <w:vAlign w:val="bottom"/>
            <w:tcBorders>
              <w:bottom w:val="single" w:sz="8" w:color="auto"/>
            </w:tcBorders>
          </w:tcPr>
          <w:p>
            <w:pPr>
              <w:spacing w:after="0"/>
              <w:rPr>
                <w:sz w:val="22"/>
                <w:szCs w:val="22"/>
                <w:color w:val="auto"/>
              </w:rPr>
            </w:pPr>
          </w:p>
        </w:tc>
        <w:tc>
          <w:tcPr>
            <w:tcW w:w="3760" w:type="dxa"/>
            <w:vAlign w:val="bottom"/>
            <w:tcBorders>
              <w:bottom w:val="single" w:sz="8" w:color="auto"/>
            </w:tcBorders>
            <w:gridSpan w:val="7"/>
          </w:tcPr>
          <w:p>
            <w:pPr>
              <w:jc w:val="center"/>
              <w:ind w:right="70"/>
              <w:spacing w:after="0"/>
              <w:rPr>
                <w:sz w:val="20"/>
                <w:szCs w:val="20"/>
                <w:color w:val="auto"/>
              </w:rPr>
            </w:pPr>
            <w:r>
              <w:rPr>
                <w:rFonts w:ascii="Times New Roman" w:cs="Times New Roman" w:eastAsia="Times New Roman" w:hAnsi="Times New Roman"/>
                <w:sz w:val="18"/>
                <w:szCs w:val="18"/>
                <w:color w:val="auto"/>
              </w:rPr>
              <w:t>FOR THE THREE MONTHS ENDED</w:t>
            </w:r>
          </w:p>
        </w:tc>
        <w:tc>
          <w:tcPr>
            <w:tcW w:w="0" w:type="dxa"/>
            <w:vAlign w:val="bottom"/>
          </w:tcPr>
          <w:p>
            <w:pPr>
              <w:spacing w:after="0"/>
              <w:rPr>
                <w:sz w:val="1"/>
                <w:szCs w:val="1"/>
                <w:color w:val="auto"/>
              </w:rPr>
            </w:pPr>
          </w:p>
        </w:tc>
      </w:tr>
      <w:tr>
        <w:trPr>
          <w:trHeight w:val="250"/>
        </w:trPr>
        <w:tc>
          <w:tcPr>
            <w:tcW w:w="3680" w:type="dxa"/>
            <w:vAlign w:val="bottom"/>
          </w:tcPr>
          <w:p>
            <w:pPr>
              <w:spacing w:after="0"/>
              <w:rPr>
                <w:sz w:val="21"/>
                <w:szCs w:val="21"/>
                <w:color w:val="auto"/>
              </w:rPr>
            </w:pP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180" w:type="dxa"/>
            <w:vAlign w:val="bottom"/>
            <w:gridSpan w:val="2"/>
          </w:tcPr>
          <w:p>
            <w:pPr>
              <w:ind w:left="40"/>
              <w:spacing w:after="0"/>
              <w:rPr>
                <w:sz w:val="20"/>
                <w:szCs w:val="20"/>
                <w:color w:val="auto"/>
              </w:rPr>
            </w:pPr>
            <w:r>
              <w:rPr>
                <w:rFonts w:ascii="Times New Roman" w:cs="Times New Roman" w:eastAsia="Times New Roman" w:hAnsi="Times New Roman"/>
                <w:sz w:val="18"/>
                <w:szCs w:val="18"/>
                <w:color w:val="auto"/>
              </w:rPr>
              <w:t>MAR 31/22</w:t>
            </w:r>
          </w:p>
        </w:tc>
        <w:tc>
          <w:tcPr>
            <w:tcW w:w="160" w:type="dxa"/>
            <w:vAlign w:val="bottom"/>
          </w:tcPr>
          <w:p>
            <w:pPr>
              <w:spacing w:after="0"/>
              <w:rPr>
                <w:sz w:val="21"/>
                <w:szCs w:val="21"/>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color w:val="auto"/>
                <w:w w:val="98"/>
              </w:rPr>
              <w:t>DEC 31/21</w:t>
            </w:r>
          </w:p>
        </w:tc>
        <w:tc>
          <w:tcPr>
            <w:tcW w:w="140" w:type="dxa"/>
            <w:vAlign w:val="bottom"/>
          </w:tcPr>
          <w:p>
            <w:pPr>
              <w:spacing w:after="0"/>
              <w:rPr>
                <w:sz w:val="21"/>
                <w:szCs w:val="21"/>
                <w:color w:val="auto"/>
              </w:rPr>
            </w:pPr>
          </w:p>
        </w:tc>
        <w:tc>
          <w:tcPr>
            <w:tcW w:w="1100" w:type="dxa"/>
            <w:vAlign w:val="bottom"/>
          </w:tcPr>
          <w:p>
            <w:pPr>
              <w:jc w:val="right"/>
              <w:ind w:right="90"/>
              <w:spacing w:after="0"/>
              <w:rPr>
                <w:sz w:val="20"/>
                <w:szCs w:val="20"/>
                <w:color w:val="auto"/>
              </w:rPr>
            </w:pPr>
            <w:r>
              <w:rPr>
                <w:rFonts w:ascii="Times New Roman" w:cs="Times New Roman" w:eastAsia="Times New Roman" w:hAnsi="Times New Roman"/>
                <w:sz w:val="18"/>
                <w:szCs w:val="18"/>
                <w:color w:val="auto"/>
              </w:rPr>
              <w:t>MAR 31/21</w:t>
            </w:r>
          </w:p>
        </w:tc>
        <w:tc>
          <w:tcPr>
            <w:tcW w:w="0" w:type="dxa"/>
            <w:vAlign w:val="bottom"/>
          </w:tcPr>
          <w:p>
            <w:pPr>
              <w:spacing w:after="0"/>
              <w:rPr>
                <w:sz w:val="1"/>
                <w:szCs w:val="1"/>
                <w:color w:val="auto"/>
              </w:rPr>
            </w:pPr>
          </w:p>
        </w:tc>
      </w:tr>
      <w:tr>
        <w:trPr>
          <w:trHeight w:val="256"/>
        </w:trPr>
        <w:tc>
          <w:tcPr>
            <w:tcW w:w="368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COMMERCIAL BUSINESS SEGMENT:</w:t>
            </w:r>
          </w:p>
        </w:tc>
        <w:tc>
          <w:tcPr>
            <w:tcW w:w="3640" w:type="dxa"/>
            <w:vAlign w:val="bottom"/>
            <w:tcBorders>
              <w:top w:val="single" w:sz="8" w:color="CCEEFF"/>
            </w:tcBorders>
            <w:shd w:val="clear" w:color="auto" w:fill="CCEEFF"/>
          </w:tcPr>
          <w:p>
            <w:pPr>
              <w:spacing w:after="0"/>
              <w:rPr>
                <w:sz w:val="22"/>
                <w:szCs w:val="22"/>
                <w:color w:val="auto"/>
              </w:rPr>
            </w:pPr>
          </w:p>
        </w:tc>
        <w:tc>
          <w:tcPr>
            <w:tcW w:w="160" w:type="dxa"/>
            <w:vAlign w:val="bottom"/>
            <w:tcBorders>
              <w:top w:val="single" w:sz="8" w:color="auto"/>
            </w:tcBorders>
            <w:shd w:val="clear" w:color="auto" w:fill="CCEEFF"/>
          </w:tcPr>
          <w:p>
            <w:pPr>
              <w:spacing w:after="0"/>
              <w:rPr>
                <w:sz w:val="22"/>
                <w:szCs w:val="22"/>
                <w:color w:val="auto"/>
              </w:rPr>
            </w:pPr>
          </w:p>
        </w:tc>
        <w:tc>
          <w:tcPr>
            <w:tcW w:w="108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60" w:type="dxa"/>
            <w:vAlign w:val="bottom"/>
            <w:tcBorders>
              <w:top w:val="single" w:sz="8" w:color="auto"/>
            </w:tcBorders>
            <w:shd w:val="clear" w:color="auto" w:fill="CCEEFF"/>
          </w:tcPr>
          <w:p>
            <w:pPr>
              <w:spacing w:after="0"/>
              <w:rPr>
                <w:sz w:val="22"/>
                <w:szCs w:val="22"/>
                <w:color w:val="auto"/>
              </w:rPr>
            </w:pPr>
          </w:p>
        </w:tc>
        <w:tc>
          <w:tcPr>
            <w:tcW w:w="108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40" w:type="dxa"/>
            <w:vAlign w:val="bottom"/>
            <w:tcBorders>
              <w:top w:val="single" w:sz="8" w:color="auto"/>
            </w:tcBorders>
            <w:shd w:val="clear" w:color="auto" w:fill="CCEEFF"/>
          </w:tcPr>
          <w:p>
            <w:pPr>
              <w:spacing w:after="0"/>
              <w:rPr>
                <w:sz w:val="22"/>
                <w:szCs w:val="22"/>
                <w:color w:val="auto"/>
              </w:rPr>
            </w:pPr>
          </w:p>
        </w:tc>
        <w:tc>
          <w:tcPr>
            <w:tcW w:w="1100" w:type="dxa"/>
            <w:vAlign w:val="bottom"/>
            <w:tcBorders>
              <w:top w:val="single" w:sz="8" w:color="auto"/>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tcPr>
          <w:p>
            <w:pPr>
              <w:spacing w:after="0"/>
              <w:rPr>
                <w:sz w:val="22"/>
                <w:szCs w:val="22"/>
                <w:color w:val="auto"/>
              </w:rPr>
            </w:pPr>
          </w:p>
        </w:tc>
        <w:tc>
          <w:tcPr>
            <w:tcW w:w="364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38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25,254</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23,295</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18,732</w:t>
            </w:r>
          </w:p>
        </w:tc>
        <w:tc>
          <w:tcPr>
            <w:tcW w:w="0" w:type="dxa"/>
            <w:vAlign w:val="bottom"/>
          </w:tcPr>
          <w:p>
            <w:pPr>
              <w:spacing w:after="0"/>
              <w:rPr>
                <w:sz w:val="1"/>
                <w:szCs w:val="1"/>
                <w:color w:val="auto"/>
              </w:rPr>
            </w:pPr>
          </w:p>
        </w:tc>
      </w:tr>
      <w:tr>
        <w:trPr>
          <w:trHeight w:val="250"/>
        </w:trPr>
        <w:tc>
          <w:tcPr>
            <w:tcW w:w="368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8"/>
                <w:szCs w:val="18"/>
                <w:color w:val="auto"/>
              </w:rPr>
              <w:t>Other income</w:t>
            </w:r>
          </w:p>
        </w:tc>
        <w:tc>
          <w:tcPr>
            <w:tcW w:w="364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4,132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6,512</w:t>
            </w:r>
          </w:p>
        </w:tc>
        <w:tc>
          <w:tcPr>
            <w:tcW w:w="10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3,257</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29,386</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29,807</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21,989</w:t>
            </w:r>
          </w:p>
        </w:tc>
        <w:tc>
          <w:tcPr>
            <w:tcW w:w="0" w:type="dxa"/>
            <w:vAlign w:val="bottom"/>
          </w:tcPr>
          <w:p>
            <w:pPr>
              <w:spacing w:after="0"/>
              <w:rPr>
                <w:sz w:val="1"/>
                <w:szCs w:val="1"/>
                <w:color w:val="auto"/>
              </w:rPr>
            </w:pPr>
          </w:p>
        </w:tc>
      </w:tr>
      <w:tr>
        <w:trPr>
          <w:trHeight w:val="250"/>
        </w:trPr>
        <w:tc>
          <w:tcPr>
            <w:tcW w:w="36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(Provision for) reversal of credit losses</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(7,361)</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(160)</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Gain on non-financial assets, net</w:t>
            </w: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742</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0"/>
        </w:trPr>
        <w:tc>
          <w:tcPr>
            <w:tcW w:w="368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364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(8,800)</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(7,849)</w:t>
            </w:r>
          </w:p>
        </w:tc>
        <w:tc>
          <w:tcPr>
            <w:tcW w:w="10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(7,148)</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segment</w:t>
            </w:r>
          </w:p>
        </w:tc>
        <w:tc>
          <w:tcPr>
            <w:tcW w:w="38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13,225</w:t>
            </w:r>
          </w:p>
        </w:tc>
        <w:tc>
          <w:tcPr>
            <w:tcW w:w="1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22,540</w:t>
            </w:r>
          </w:p>
        </w:tc>
        <w:tc>
          <w:tcPr>
            <w:tcW w:w="100" w:type="dxa"/>
            <w:vAlign w:val="bottom"/>
          </w:tcPr>
          <w:p>
            <w:pPr>
              <w:spacing w:after="0"/>
              <w:rPr>
                <w:sz w:val="21"/>
                <w:szCs w:val="21"/>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14,878</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6,658,539</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5,931,201</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5,137,623</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TREASURY BUSINESS SEGMENT:</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38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467</w:t>
            </w:r>
          </w:p>
        </w:tc>
        <w:tc>
          <w:tcPr>
            <w:tcW w:w="1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1515</w:t>
            </w:r>
          </w:p>
        </w:tc>
        <w:tc>
          <w:tcPr>
            <w:tcW w:w="100" w:type="dxa"/>
            <w:vAlign w:val="bottom"/>
          </w:tcPr>
          <w:p>
            <w:pPr>
              <w:spacing w:after="0"/>
              <w:rPr>
                <w:sz w:val="21"/>
                <w:szCs w:val="21"/>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163</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income (expense)</w:t>
            </w:r>
          </w:p>
        </w:tc>
        <w:tc>
          <w:tcPr>
            <w:tcW w:w="364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399</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(1,497)</w:t>
            </w:r>
          </w:p>
        </w:tc>
        <w:tc>
          <w:tcPr>
            <w:tcW w:w="10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866</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(28)</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(750)</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w:t>
            </w:r>
          </w:p>
        </w:tc>
        <w:tc>
          <w:tcPr>
            <w:tcW w:w="0" w:type="dxa"/>
            <w:vAlign w:val="bottom"/>
          </w:tcPr>
          <w:p>
            <w:pPr>
              <w:spacing w:after="0"/>
              <w:rPr>
                <w:sz w:val="1"/>
                <w:szCs w:val="1"/>
                <w:color w:val="auto"/>
              </w:rPr>
            </w:pPr>
          </w:p>
        </w:tc>
      </w:tr>
      <w:tr>
        <w:trPr>
          <w:trHeight w:val="250"/>
        </w:trPr>
        <w:tc>
          <w:tcPr>
            <w:tcW w:w="368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364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(2,222)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(2,479)</w:t>
            </w:r>
          </w:p>
        </w:tc>
        <w:tc>
          <w:tcPr>
            <w:tcW w:w="10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(1,997)</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Loss for the segment</w:t>
            </w:r>
          </w:p>
        </w:tc>
        <w:tc>
          <w:tcPr>
            <w:tcW w:w="38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(2,106)</w:t>
            </w:r>
          </w:p>
        </w:tc>
        <w:tc>
          <w:tcPr>
            <w:tcW w:w="1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(2,474)</w:t>
            </w:r>
          </w:p>
        </w:tc>
        <w:tc>
          <w:tcPr>
            <w:tcW w:w="100" w:type="dxa"/>
            <w:vAlign w:val="bottom"/>
          </w:tcPr>
          <w:p>
            <w:pPr>
              <w:spacing w:after="0"/>
              <w:rPr>
                <w:sz w:val="21"/>
                <w:szCs w:val="21"/>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(2,062)</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364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1,790,642</w:t>
            </w:r>
          </w:p>
        </w:tc>
        <w:tc>
          <w:tcPr>
            <w:tcW w:w="100" w:type="dxa"/>
            <w:vAlign w:val="bottom"/>
            <w:tcBorders>
              <w:bottom w:val="single" w:sz="8" w:color="CCEEFF"/>
            </w:tcBorders>
          </w:tcPr>
          <w:p>
            <w:pPr>
              <w:spacing w:after="0"/>
              <w:rPr>
                <w:sz w:val="21"/>
                <w:szCs w:val="21"/>
                <w:color w:val="auto"/>
              </w:rPr>
            </w:pPr>
          </w:p>
        </w:tc>
        <w:tc>
          <w:tcPr>
            <w:tcW w:w="160" w:type="dxa"/>
            <w:vAlign w:val="bottom"/>
            <w:tcBorders>
              <w:bottom w:val="single" w:sz="8" w:color="auto"/>
            </w:tcBorders>
          </w:tcPr>
          <w:p>
            <w:pPr>
              <w:spacing w:after="0"/>
              <w:rPr>
                <w:sz w:val="21"/>
                <w:szCs w:val="21"/>
                <w:color w:val="auto"/>
              </w:rPr>
            </w:pP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2,098,492</w:t>
            </w:r>
          </w:p>
        </w:tc>
        <w:tc>
          <w:tcPr>
            <w:tcW w:w="100" w:type="dxa"/>
            <w:vAlign w:val="bottom"/>
            <w:tcBorders>
              <w:bottom w:val="single" w:sz="8" w:color="CCEEFF"/>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1,230,515</w:t>
            </w:r>
          </w:p>
        </w:tc>
        <w:tc>
          <w:tcPr>
            <w:tcW w:w="0" w:type="dxa"/>
            <w:vAlign w:val="bottom"/>
          </w:tcPr>
          <w:p>
            <w:pPr>
              <w:spacing w:after="0"/>
              <w:rPr>
                <w:sz w:val="1"/>
                <w:szCs w:val="1"/>
                <w:color w:val="auto"/>
              </w:rPr>
            </w:pPr>
          </w:p>
        </w:tc>
      </w:tr>
      <w:tr>
        <w:trPr>
          <w:trHeight w:val="256"/>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spacing w:after="0"/>
              <w:rPr>
                <w:sz w:val="22"/>
                <w:szCs w:val="22"/>
                <w:color w:val="auto"/>
              </w:rPr>
            </w:pP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50"/>
        </w:trPr>
        <w:tc>
          <w:tcPr>
            <w:tcW w:w="36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Net interest income</w:t>
            </w:r>
          </w:p>
        </w:tc>
        <w:tc>
          <w:tcPr>
            <w:tcW w:w="38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25,721</w:t>
            </w:r>
          </w:p>
        </w:tc>
        <w:tc>
          <w:tcPr>
            <w:tcW w:w="1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24,810</w:t>
            </w:r>
          </w:p>
        </w:tc>
        <w:tc>
          <w:tcPr>
            <w:tcW w:w="100" w:type="dxa"/>
            <w:vAlign w:val="bottom"/>
          </w:tcPr>
          <w:p>
            <w:pPr>
              <w:spacing w:after="0"/>
              <w:rPr>
                <w:sz w:val="21"/>
                <w:szCs w:val="21"/>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18,895</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income</w:t>
            </w:r>
          </w:p>
        </w:tc>
        <w:tc>
          <w:tcPr>
            <w:tcW w:w="364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4,531</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5,015</w:t>
            </w:r>
          </w:p>
        </w:tc>
        <w:tc>
          <w:tcPr>
            <w:tcW w:w="10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3,066</w:t>
            </w: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revenues</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30,252</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29,825</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21,961</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(Provision for) reversal of credit losses</w:t>
            </w: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(8,111)</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(173)</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0"/>
        </w:trPr>
        <w:tc>
          <w:tcPr>
            <w:tcW w:w="368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Gain on non-financial assets, net</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742</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7"/>
        </w:trPr>
        <w:tc>
          <w:tcPr>
            <w:tcW w:w="368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Operating expenses</w:t>
            </w:r>
          </w:p>
        </w:tc>
        <w:tc>
          <w:tcPr>
            <w:tcW w:w="364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(11,022)</w:t>
            </w: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(10,328)</w:t>
            </w:r>
          </w:p>
        </w:tc>
        <w:tc>
          <w:tcPr>
            <w:tcW w:w="100" w:type="dxa"/>
            <w:vAlign w:val="bottom"/>
            <w:shd w:val="clear" w:color="auto" w:fill="CCEEFF"/>
          </w:tcPr>
          <w:p>
            <w:pPr>
              <w:spacing w:after="0"/>
              <w:rPr>
                <w:sz w:val="22"/>
                <w:szCs w:val="22"/>
                <w:color w:val="auto"/>
              </w:rPr>
            </w:pPr>
          </w:p>
        </w:tc>
        <w:tc>
          <w:tcPr>
            <w:tcW w:w="140" w:type="dxa"/>
            <w:vAlign w:val="bottom"/>
            <w:tcBorders>
              <w:bottom w:val="single" w:sz="8" w:color="auto"/>
            </w:tcBorders>
            <w:shd w:val="clear" w:color="auto" w:fill="CCEEFF"/>
          </w:tcPr>
          <w:p>
            <w:pPr>
              <w:spacing w:after="0"/>
              <w:rPr>
                <w:sz w:val="22"/>
                <w:szCs w:val="22"/>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(9,145)</w:t>
            </w:r>
          </w:p>
        </w:tc>
        <w:tc>
          <w:tcPr>
            <w:tcW w:w="0" w:type="dxa"/>
            <w:vAlign w:val="bottom"/>
          </w:tcPr>
          <w:p>
            <w:pPr>
              <w:spacing w:after="0"/>
              <w:rPr>
                <w:sz w:val="1"/>
                <w:szCs w:val="1"/>
                <w:color w:val="auto"/>
              </w:rPr>
            </w:pPr>
          </w:p>
        </w:tc>
      </w:tr>
      <w:tr>
        <w:trPr>
          <w:trHeight w:val="256"/>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38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11,119</w:t>
            </w:r>
          </w:p>
        </w:tc>
        <w:tc>
          <w:tcPr>
            <w:tcW w:w="100" w:type="dxa"/>
            <w:vAlign w:val="bottom"/>
          </w:tcPr>
          <w:p>
            <w:pPr>
              <w:spacing w:after="0"/>
              <w:rPr>
                <w:sz w:val="22"/>
                <w:szCs w:val="22"/>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20,066</w:t>
            </w:r>
          </w:p>
        </w:tc>
        <w:tc>
          <w:tcPr>
            <w:tcW w:w="100" w:type="dxa"/>
            <w:vAlign w:val="bottom"/>
          </w:tcPr>
          <w:p>
            <w:pPr>
              <w:spacing w:after="0"/>
              <w:rPr>
                <w:sz w:val="22"/>
                <w:szCs w:val="22"/>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12,816</w:t>
            </w:r>
          </w:p>
        </w:tc>
        <w:tc>
          <w:tcPr>
            <w:tcW w:w="0" w:type="dxa"/>
            <w:vAlign w:val="bottom"/>
          </w:tcPr>
          <w:p>
            <w:pPr>
              <w:spacing w:after="0"/>
              <w:rPr>
                <w:sz w:val="1"/>
                <w:szCs w:val="1"/>
                <w:color w:val="auto"/>
              </w:rPr>
            </w:pPr>
          </w:p>
        </w:tc>
      </w:tr>
      <w:tr>
        <w:trPr>
          <w:trHeight w:val="20"/>
        </w:trPr>
        <w:tc>
          <w:tcPr>
            <w:tcW w:w="3680" w:type="dxa"/>
            <w:vAlign w:val="bottom"/>
            <w:tcBorders>
              <w:bottom w:val="single" w:sz="8" w:color="CCEEFF"/>
            </w:tcBorders>
          </w:tcPr>
          <w:p>
            <w:pPr>
              <w:spacing w:after="0" w:line="20" w:lineRule="exact"/>
              <w:rPr>
                <w:sz w:val="1"/>
                <w:szCs w:val="1"/>
                <w:color w:val="auto"/>
              </w:rPr>
            </w:pPr>
          </w:p>
        </w:tc>
        <w:tc>
          <w:tcPr>
            <w:tcW w:w="364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segment assets</w:t>
            </w:r>
          </w:p>
        </w:tc>
        <w:tc>
          <w:tcPr>
            <w:tcW w:w="364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8,449,181</w:t>
            </w:r>
          </w:p>
        </w:tc>
        <w:tc>
          <w:tcPr>
            <w:tcW w:w="10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8,029,693</w:t>
            </w:r>
          </w:p>
        </w:tc>
        <w:tc>
          <w:tcPr>
            <w:tcW w:w="1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6,368,138</w:t>
            </w:r>
          </w:p>
        </w:tc>
        <w:tc>
          <w:tcPr>
            <w:tcW w:w="0" w:type="dxa"/>
            <w:vAlign w:val="bottom"/>
          </w:tcPr>
          <w:p>
            <w:pPr>
              <w:spacing w:after="0"/>
              <w:rPr>
                <w:sz w:val="1"/>
                <w:szCs w:val="1"/>
                <w:color w:val="auto"/>
              </w:rPr>
            </w:pPr>
          </w:p>
        </w:tc>
      </w:tr>
      <w:tr>
        <w:trPr>
          <w:trHeight w:val="250"/>
        </w:trPr>
        <w:tc>
          <w:tcPr>
            <w:tcW w:w="3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Unallocated assets</w:t>
            </w:r>
          </w:p>
        </w:tc>
        <w:tc>
          <w:tcPr>
            <w:tcW w:w="36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9,202</w:t>
            </w:r>
          </w:p>
        </w:tc>
        <w:tc>
          <w:tcPr>
            <w:tcW w:w="10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8,418</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6,708</w:t>
            </w:r>
          </w:p>
        </w:tc>
        <w:tc>
          <w:tcPr>
            <w:tcW w:w="0" w:type="dxa"/>
            <w:vAlign w:val="bottom"/>
          </w:tcPr>
          <w:p>
            <w:pPr>
              <w:spacing w:after="0"/>
              <w:rPr>
                <w:sz w:val="1"/>
                <w:szCs w:val="1"/>
                <w:color w:val="auto"/>
              </w:rPr>
            </w:pPr>
          </w:p>
        </w:tc>
      </w:tr>
      <w:tr>
        <w:trPr>
          <w:trHeight w:val="263"/>
        </w:trPr>
        <w:tc>
          <w:tcPr>
            <w:tcW w:w="3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36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8,458,383</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8,038,111</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6,374,846</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440" w:right="339" w:bottom="1440" w:gutter="0" w:footer="0" w:header="0"/>
        </w:sectPr>
      </w:pPr>
    </w:p>
    <w:p>
      <w:pPr>
        <w:spacing w:after="0" w:line="362"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type w:val="continuous"/>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VI</w:t>
      </w:r>
    </w:p>
    <w:p>
      <w:pPr>
        <w:spacing w:after="0" w:line="16" w:lineRule="exact"/>
        <w:rPr>
          <w:sz w:val="20"/>
          <w:szCs w:val="20"/>
          <w:color w:val="auto"/>
        </w:rPr>
      </w:pPr>
    </w:p>
    <w:p>
      <w:pPr>
        <w:ind w:left="4780"/>
        <w:spacing w:after="0"/>
        <w:rPr>
          <w:sz w:val="20"/>
          <w:szCs w:val="20"/>
          <w:color w:val="auto"/>
        </w:rPr>
      </w:pPr>
      <w:r>
        <w:rPr>
          <w:rFonts w:ascii="Times New Roman" w:cs="Times New Roman" w:eastAsia="Times New Roman" w:hAnsi="Times New Roman"/>
          <w:sz w:val="18"/>
          <w:szCs w:val="18"/>
          <w:color w:val="auto"/>
        </w:rPr>
        <w:t>CREDIT PORTFOLIO</w:t>
      </w:r>
    </w:p>
    <w:p>
      <w:pPr>
        <w:spacing w:after="0" w:line="5" w:lineRule="exact"/>
        <w:rPr>
          <w:sz w:val="20"/>
          <w:szCs w:val="20"/>
          <w:color w:val="auto"/>
        </w:rPr>
      </w:pPr>
    </w:p>
    <w:p>
      <w:pPr>
        <w:ind w:left="4400"/>
        <w:spacing w:after="0"/>
        <w:rPr>
          <w:sz w:val="20"/>
          <w:szCs w:val="20"/>
          <w:color w:val="auto"/>
        </w:rPr>
      </w:pPr>
      <w:r>
        <w:rPr>
          <w:rFonts w:ascii="Times New Roman" w:cs="Times New Roman" w:eastAsia="Times New Roman" w:hAnsi="Times New Roman"/>
          <w:sz w:val="18"/>
          <w:szCs w:val="18"/>
          <w:color w:val="auto"/>
        </w:rPr>
        <w:t>DISTRIBUTION BY COUNTRY</w:t>
      </w: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3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2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80" w:type="dxa"/>
            <w:vAlign w:val="bottom"/>
            <w:gridSpan w:val="4"/>
          </w:tcPr>
          <w:p>
            <w:pPr>
              <w:jc w:val="right"/>
              <w:ind w:right="497"/>
              <w:spacing w:after="0"/>
              <w:rPr>
                <w:sz w:val="20"/>
                <w:szCs w:val="20"/>
                <w:color w:val="auto"/>
              </w:rPr>
            </w:pPr>
            <w:r>
              <w:rPr>
                <w:rFonts w:ascii="Times New Roman" w:cs="Times New Roman" w:eastAsia="Times New Roman" w:hAnsi="Times New Roman"/>
                <w:sz w:val="13"/>
                <w:szCs w:val="13"/>
                <w:color w:val="auto"/>
              </w:rPr>
              <w:t>AT THE END OF,</w:t>
            </w:r>
          </w:p>
        </w:tc>
        <w:tc>
          <w:tcPr>
            <w:tcW w:w="1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gridSpan w:val="3"/>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6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7"/>
        </w:trPr>
        <w:tc>
          <w:tcPr>
            <w:tcW w:w="2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40" w:type="dxa"/>
            <w:vAlign w:val="bottom"/>
            <w:gridSpan w:val="3"/>
          </w:tcPr>
          <w:p>
            <w:pPr>
              <w:jc w:val="center"/>
              <w:ind w:right="1020"/>
              <w:spacing w:after="0"/>
              <w:rPr>
                <w:sz w:val="20"/>
                <w:szCs w:val="20"/>
                <w:color w:val="auto"/>
              </w:rPr>
            </w:pPr>
            <w:r>
              <w:rPr>
                <w:rFonts w:ascii="Times New Roman" w:cs="Times New Roman" w:eastAsia="Times New Roman" w:hAnsi="Times New Roman"/>
                <w:sz w:val="13"/>
                <w:szCs w:val="13"/>
                <w:color w:val="auto"/>
                <w:w w:val="99"/>
              </w:rPr>
              <w:t>(A)</w:t>
            </w: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40" w:type="dxa"/>
            <w:vAlign w:val="bottom"/>
            <w:gridSpan w:val="3"/>
          </w:tcPr>
          <w:p>
            <w:pPr>
              <w:jc w:val="center"/>
              <w:ind w:right="1000"/>
              <w:spacing w:after="0"/>
              <w:rPr>
                <w:sz w:val="20"/>
                <w:szCs w:val="20"/>
                <w:color w:val="auto"/>
              </w:rPr>
            </w:pPr>
            <w:r>
              <w:rPr>
                <w:rFonts w:ascii="Times New Roman" w:cs="Times New Roman" w:eastAsia="Times New Roman" w:hAnsi="Times New Roman"/>
                <w:sz w:val="13"/>
                <w:szCs w:val="13"/>
                <w:color w:val="auto"/>
                <w:w w:val="92"/>
              </w:rPr>
              <w:t>(B)</w:t>
            </w:r>
          </w:p>
        </w:tc>
        <w:tc>
          <w:tcPr>
            <w:tcW w:w="18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60" w:type="dxa"/>
            <w:vAlign w:val="bottom"/>
            <w:gridSpan w:val="3"/>
          </w:tcPr>
          <w:p>
            <w:pPr>
              <w:jc w:val="center"/>
              <w:ind w:right="1020"/>
              <w:spacing w:after="0"/>
              <w:rPr>
                <w:sz w:val="20"/>
                <w:szCs w:val="20"/>
                <w:color w:val="auto"/>
              </w:rPr>
            </w:pPr>
            <w:r>
              <w:rPr>
                <w:rFonts w:ascii="Times New Roman" w:cs="Times New Roman" w:eastAsia="Times New Roman" w:hAnsi="Times New Roman"/>
                <w:sz w:val="13"/>
                <w:szCs w:val="13"/>
                <w:color w:val="auto"/>
                <w:w w:val="92"/>
              </w:rPr>
              <w:t>(C)</w:t>
            </w: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3"/>
        </w:trPr>
        <w:tc>
          <w:tcPr>
            <w:tcW w:w="2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0" w:type="dxa"/>
            <w:vAlign w:val="bottom"/>
            <w:gridSpan w:val="4"/>
          </w:tcPr>
          <w:p>
            <w:pPr>
              <w:jc w:val="center"/>
              <w:ind w:right="280"/>
              <w:spacing w:after="0"/>
              <w:rPr>
                <w:sz w:val="20"/>
                <w:szCs w:val="20"/>
                <w:color w:val="auto"/>
              </w:rPr>
            </w:pPr>
            <w:r>
              <w:rPr>
                <w:rFonts w:ascii="Times New Roman" w:cs="Times New Roman" w:eastAsia="Times New Roman" w:hAnsi="Times New Roman"/>
                <w:sz w:val="13"/>
                <w:szCs w:val="13"/>
                <w:color w:val="auto"/>
                <w:w w:val="96"/>
              </w:rPr>
              <w:t>March 31, 2022</w:t>
            </w:r>
          </w:p>
        </w:tc>
        <w:tc>
          <w:tcPr>
            <w:tcW w:w="160" w:type="dxa"/>
            <w:vAlign w:val="bottom"/>
          </w:tcPr>
          <w:p>
            <w:pPr>
              <w:spacing w:after="0"/>
              <w:rPr>
                <w:sz w:val="17"/>
                <w:szCs w:val="17"/>
                <w:color w:val="auto"/>
              </w:rPr>
            </w:pPr>
          </w:p>
        </w:tc>
        <w:tc>
          <w:tcPr>
            <w:tcW w:w="2000" w:type="dxa"/>
            <w:vAlign w:val="bottom"/>
            <w:gridSpan w:val="4"/>
          </w:tcPr>
          <w:p>
            <w:pPr>
              <w:jc w:val="center"/>
              <w:ind w:right="260"/>
              <w:spacing w:after="0"/>
              <w:rPr>
                <w:sz w:val="20"/>
                <w:szCs w:val="20"/>
                <w:color w:val="auto"/>
              </w:rPr>
            </w:pPr>
            <w:r>
              <w:rPr>
                <w:rFonts w:ascii="Times New Roman" w:cs="Times New Roman" w:eastAsia="Times New Roman" w:hAnsi="Times New Roman"/>
                <w:sz w:val="13"/>
                <w:szCs w:val="13"/>
                <w:color w:val="auto"/>
                <w:w w:val="95"/>
              </w:rPr>
              <w:t>December 31, 2021</w:t>
            </w:r>
          </w:p>
        </w:tc>
        <w:tc>
          <w:tcPr>
            <w:tcW w:w="180" w:type="dxa"/>
            <w:vAlign w:val="bottom"/>
          </w:tcPr>
          <w:p>
            <w:pPr>
              <w:spacing w:after="0"/>
              <w:rPr>
                <w:sz w:val="17"/>
                <w:szCs w:val="17"/>
                <w:color w:val="auto"/>
              </w:rPr>
            </w:pPr>
          </w:p>
        </w:tc>
        <w:tc>
          <w:tcPr>
            <w:tcW w:w="2020" w:type="dxa"/>
            <w:vAlign w:val="bottom"/>
            <w:gridSpan w:val="4"/>
          </w:tcPr>
          <w:p>
            <w:pPr>
              <w:jc w:val="center"/>
              <w:ind w:right="260"/>
              <w:spacing w:after="0"/>
              <w:rPr>
                <w:sz w:val="20"/>
                <w:szCs w:val="20"/>
                <w:color w:val="auto"/>
              </w:rPr>
            </w:pPr>
            <w:r>
              <w:rPr>
                <w:rFonts w:ascii="Times New Roman" w:cs="Times New Roman" w:eastAsia="Times New Roman" w:hAnsi="Times New Roman"/>
                <w:sz w:val="13"/>
                <w:szCs w:val="13"/>
                <w:color w:val="auto"/>
                <w:w w:val="96"/>
              </w:rPr>
              <w:t>March 31, 2021</w:t>
            </w:r>
          </w:p>
        </w:tc>
        <w:tc>
          <w:tcPr>
            <w:tcW w:w="160" w:type="dxa"/>
            <w:vAlign w:val="bottom"/>
          </w:tcPr>
          <w:p>
            <w:pPr>
              <w:spacing w:after="0"/>
              <w:rPr>
                <w:sz w:val="17"/>
                <w:szCs w:val="17"/>
                <w:color w:val="auto"/>
              </w:rPr>
            </w:pPr>
          </w:p>
        </w:tc>
        <w:tc>
          <w:tcPr>
            <w:tcW w:w="1780" w:type="dxa"/>
            <w:vAlign w:val="bottom"/>
            <w:gridSpan w:val="4"/>
          </w:tcPr>
          <w:p>
            <w:pPr>
              <w:jc w:val="right"/>
              <w:ind w:right="437"/>
              <w:spacing w:after="0"/>
              <w:rPr>
                <w:sz w:val="20"/>
                <w:szCs w:val="20"/>
                <w:color w:val="auto"/>
              </w:rPr>
            </w:pPr>
            <w:r>
              <w:rPr>
                <w:rFonts w:ascii="Times New Roman" w:cs="Times New Roman" w:eastAsia="Times New Roman" w:hAnsi="Times New Roman"/>
                <w:sz w:val="13"/>
                <w:szCs w:val="13"/>
                <w:color w:val="auto"/>
              </w:rPr>
              <w:t>Change in Amount</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16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gridSpan w:val="2"/>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6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24"/>
        </w:trPr>
        <w:tc>
          <w:tcPr>
            <w:tcW w:w="2680" w:type="dxa"/>
            <w:vAlign w:val="bottom"/>
            <w:vMerge w:val="restart"/>
          </w:tcPr>
          <w:p>
            <w:pPr>
              <w:ind w:left="20"/>
              <w:spacing w:after="0"/>
              <w:rPr>
                <w:sz w:val="20"/>
                <w:szCs w:val="20"/>
                <w:color w:val="auto"/>
              </w:rPr>
            </w:pPr>
            <w:r>
              <w:rPr>
                <w:rFonts w:ascii="Times New Roman" w:cs="Times New Roman" w:eastAsia="Times New Roman" w:hAnsi="Times New Roman"/>
                <w:sz w:val="13"/>
                <w:szCs w:val="13"/>
                <w:color w:val="auto"/>
              </w:rPr>
              <w:t>COUNTRY</w:t>
            </w:r>
          </w:p>
        </w:tc>
        <w:tc>
          <w:tcPr>
            <w:tcW w:w="100" w:type="dxa"/>
            <w:vAlign w:val="bottom"/>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8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8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6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 - (B)</w:t>
            </w:r>
          </w:p>
        </w:tc>
        <w:tc>
          <w:tcPr>
            <w:tcW w:w="80" w:type="dxa"/>
            <w:vAlign w:val="bottom"/>
            <w:tcBorders>
              <w:top w:val="single" w:sz="8" w:color="auto"/>
            </w:tcBorders>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 - (C)</w:t>
            </w:r>
          </w:p>
        </w:tc>
        <w:tc>
          <w:tcPr>
            <w:tcW w:w="0" w:type="dxa"/>
            <w:vAlign w:val="bottom"/>
          </w:tcPr>
          <w:p>
            <w:pPr>
              <w:spacing w:after="0"/>
              <w:rPr>
                <w:sz w:val="1"/>
                <w:szCs w:val="1"/>
                <w:color w:val="auto"/>
              </w:rPr>
            </w:pPr>
          </w:p>
        </w:tc>
      </w:tr>
      <w:tr>
        <w:trPr>
          <w:trHeight w:val="174"/>
        </w:trPr>
        <w:tc>
          <w:tcPr>
            <w:tcW w:w="268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06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6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80" w:type="dxa"/>
            <w:vAlign w:val="bottom"/>
            <w:tcBorders>
              <w:bottom w:val="single" w:sz="8" w:color="CCEEFF"/>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6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8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80" w:type="dxa"/>
            <w:vAlign w:val="bottom"/>
            <w:tcBorders>
              <w:bottom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ARGENTINA</w:t>
            </w: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BOLIVIA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BRAZIL</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1,119</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1,201</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1,220</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(82)</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CHILE</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773</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645</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126</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COLOMBIA</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904</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884</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719</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185</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COSTA RICA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305</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272</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191</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114</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DOMINICAN REPUBLIC</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322</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297</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205</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117</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ECUADOR</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319</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212</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155</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EL SALVADOR</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GUATEMALA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493</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338</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84</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239</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HONDURAS</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258</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208</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238</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JAMAICA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78</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w:t>
            </w:r>
          </w:p>
        </w:tc>
        <w:tc>
          <w:tcPr>
            <w:tcW w:w="0" w:type="dxa"/>
            <w:vAlign w:val="bottom"/>
          </w:tcPr>
          <w:p>
            <w:pPr>
              <w:spacing w:after="0"/>
              <w:rPr>
                <w:sz w:val="1"/>
                <w:szCs w:val="1"/>
                <w:color w:val="auto"/>
              </w:rPr>
            </w:pPr>
          </w:p>
        </w:tc>
      </w:tr>
      <w:tr>
        <w:trPr>
          <w:trHeight w:val="29"/>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MEXICO</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934</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787</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593</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147</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341</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PANAMA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411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293</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324</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118</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87</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PARAGUAY</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122</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128</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PERU</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626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473</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386</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153</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240</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TRINIDAD &amp; TOBAGO</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134</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141</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152</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UNITED STATES OF AMERICA</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539</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314</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225</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539</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78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URUGUAY</w:t>
            </w: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149</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116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w:t>
            </w: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0" w:type="dxa"/>
            <w:vAlign w:val="bottom"/>
          </w:tcPr>
          <w:p>
            <w:pPr>
              <w:spacing w:after="0"/>
              <w:rPr>
                <w:sz w:val="1"/>
                <w:szCs w:val="1"/>
                <w:color w:val="auto"/>
              </w:rPr>
            </w:pPr>
          </w:p>
        </w:tc>
      </w:tr>
      <w:tr>
        <w:trPr>
          <w:trHeight w:val="173"/>
        </w:trPr>
        <w:tc>
          <w:tcPr>
            <w:tcW w:w="278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MULTILATERAL ORGANIZATIONS</w:t>
            </w: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84</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105</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w:t>
            </w: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(28)</w:t>
            </w:r>
          </w:p>
        </w:tc>
        <w:tc>
          <w:tcPr>
            <w:tcW w:w="0" w:type="dxa"/>
            <w:vAlign w:val="bottom"/>
          </w:tcPr>
          <w:p>
            <w:pPr>
              <w:spacing w:after="0"/>
              <w:rPr>
                <w:sz w:val="1"/>
                <w:szCs w:val="1"/>
                <w:color w:val="auto"/>
              </w:rPr>
            </w:pPr>
          </w:p>
        </w:tc>
      </w:tr>
      <w:tr>
        <w:trPr>
          <w:trHeight w:val="30"/>
        </w:trPr>
        <w:tc>
          <w:tcPr>
            <w:tcW w:w="2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780" w:type="dxa"/>
            <w:vAlign w:val="bottom"/>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 xml:space="preserve">OTHER NON-LATAM </w:t>
            </w:r>
            <w:r>
              <w:rPr>
                <w:rFonts w:ascii="Times New Roman" w:cs="Times New Roman" w:eastAsia="Times New Roman" w:hAnsi="Times New Roman"/>
                <w:sz w:val="16"/>
                <w:szCs w:val="16"/>
                <w:color w:val="auto"/>
                <w:vertAlign w:val="superscript"/>
              </w:rPr>
              <w:t>(1)</w:t>
            </w: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563</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541</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555</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0" w:type="dxa"/>
            <w:vAlign w:val="bottom"/>
          </w:tcPr>
          <w:p>
            <w:pPr>
              <w:spacing w:after="0"/>
              <w:rPr>
                <w:sz w:val="1"/>
                <w:szCs w:val="1"/>
                <w:color w:val="auto"/>
              </w:rPr>
            </w:pPr>
          </w:p>
        </w:tc>
      </w:tr>
      <w:tr>
        <w:trPr>
          <w:trHeight w:val="291"/>
        </w:trPr>
        <w:tc>
          <w:tcPr>
            <w:tcW w:w="2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2"/>
        </w:trPr>
        <w:tc>
          <w:tcPr>
            <w:tcW w:w="27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 xml:space="preserve">TOTAL CREDIT PORTFOLIO </w:t>
            </w:r>
            <w:r>
              <w:rPr>
                <w:rFonts w:ascii="Times New Roman" w:cs="Times New Roman" w:eastAsia="Times New Roman" w:hAnsi="Times New Roman"/>
                <w:sz w:val="16"/>
                <w:szCs w:val="16"/>
                <w:color w:val="auto"/>
                <w:vertAlign w:val="superscript"/>
              </w:rPr>
              <w:t>(2)</w:t>
            </w: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8,412</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7,365</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6,097</w:t>
            </w:r>
          </w:p>
        </w:tc>
        <w:tc>
          <w:tcPr>
            <w:tcW w:w="1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1,047</w:t>
            </w: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2,315</w:t>
            </w:r>
          </w:p>
        </w:tc>
        <w:tc>
          <w:tcPr>
            <w:tcW w:w="0" w:type="dxa"/>
            <w:vAlign w:val="bottom"/>
          </w:tcPr>
          <w:p>
            <w:pPr>
              <w:spacing w:after="0"/>
              <w:rPr>
                <w:sz w:val="1"/>
                <w:szCs w:val="1"/>
                <w:color w:val="auto"/>
              </w:rPr>
            </w:pPr>
          </w:p>
        </w:tc>
      </w:tr>
      <w:tr>
        <w:trPr>
          <w:trHeight w:val="203"/>
        </w:trPr>
        <w:tc>
          <w:tcPr>
            <w:tcW w:w="2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8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UNEARNED INTEREST AND DEFERRED FEES</w:t>
            </w: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8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0" w:type="dxa"/>
            <w:vAlign w:val="bottom"/>
          </w:tcPr>
          <w:p>
            <w:pPr>
              <w:spacing w:after="0"/>
              <w:rPr>
                <w:sz w:val="1"/>
                <w:szCs w:val="1"/>
                <w:color w:val="auto"/>
              </w:rPr>
            </w:pPr>
          </w:p>
        </w:tc>
      </w:tr>
      <w:tr>
        <w:trPr>
          <w:trHeight w:val="196"/>
        </w:trPr>
        <w:tc>
          <w:tcPr>
            <w:tcW w:w="2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57"/>
        </w:trPr>
        <w:tc>
          <w:tcPr>
            <w:tcW w:w="27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TOTAL CREDIT PORTFOLIO, NET OF</w:t>
            </w: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8,402</w:t>
            </w:r>
          </w:p>
        </w:tc>
        <w:tc>
          <w:tcPr>
            <w:tcW w:w="8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7,356</w:t>
            </w:r>
          </w:p>
        </w:tc>
        <w:tc>
          <w:tcPr>
            <w:tcW w:w="1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8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6,091</w:t>
            </w:r>
          </w:p>
        </w:tc>
        <w:tc>
          <w:tcPr>
            <w:tcW w:w="1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1,046</w:t>
            </w:r>
          </w:p>
        </w:tc>
        <w:tc>
          <w:tcPr>
            <w:tcW w:w="8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2,311</w:t>
            </w:r>
          </w:p>
        </w:tc>
        <w:tc>
          <w:tcPr>
            <w:tcW w:w="0" w:type="dxa"/>
            <w:vAlign w:val="bottom"/>
          </w:tcPr>
          <w:p>
            <w:pPr>
              <w:spacing w:after="0"/>
              <w:rPr>
                <w:sz w:val="1"/>
                <w:szCs w:val="1"/>
                <w:color w:val="auto"/>
              </w:rPr>
            </w:pPr>
          </w:p>
        </w:tc>
      </w:tr>
      <w:tr>
        <w:trPr>
          <w:trHeight w:val="173"/>
        </w:trPr>
        <w:tc>
          <w:tcPr>
            <w:tcW w:w="2780" w:type="dxa"/>
            <w:vAlign w:val="bottom"/>
            <w:tcBorders>
              <w:bottom w:val="single" w:sz="8" w:color="CCEEFF"/>
            </w:tcBorders>
            <w:gridSpan w:val="2"/>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UNEARNED INTEREST &amp; DEFERRED FEES</w:t>
            </w: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80" w:type="dxa"/>
            <w:vAlign w:val="bottom"/>
            <w:tcBorders>
              <w:bottom w:val="single" w:sz="8" w:color="auto"/>
            </w:tcBorders>
            <w:vMerge w:val="continue"/>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6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120015</wp:posOffset>
            </wp:positionV>
            <wp:extent cx="2160270" cy="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2160270" cy="8255"/>
                    </a:xfrm>
                    <a:prstGeom prst="rect">
                      <a:avLst/>
                    </a:prstGeom>
                    <a:noFill/>
                  </pic:spPr>
                </pic:pic>
              </a:graphicData>
            </a:graphic>
          </wp:anchor>
        </w:drawing>
      </w:r>
    </w:p>
    <w:p>
      <w:pPr>
        <w:spacing w:after="0" w:line="254" w:lineRule="exact"/>
        <w:rPr>
          <w:sz w:val="20"/>
          <w:szCs w:val="20"/>
          <w:color w:val="auto"/>
        </w:rPr>
      </w:pPr>
    </w:p>
    <w:p>
      <w:pPr>
        <w:ind w:left="320" w:hanging="312"/>
        <w:spacing w:after="0"/>
        <w:tabs>
          <w:tab w:leader="none" w:pos="320" w:val="left"/>
        </w:tabs>
        <w:numPr>
          <w:ilvl w:val="0"/>
          <w:numId w:val="7"/>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Risk in highly rated countries outside the Region related to transactions carried out in the Region.</w:t>
      </w:r>
    </w:p>
    <w:p>
      <w:pPr>
        <w:spacing w:after="0" w:line="17" w:lineRule="exact"/>
        <w:rPr>
          <w:rFonts w:ascii="Times New Roman" w:cs="Times New Roman" w:eastAsia="Times New Roman" w:hAnsi="Times New Roman"/>
          <w:sz w:val="14"/>
          <w:szCs w:val="14"/>
          <w:color w:val="auto"/>
        </w:rPr>
      </w:pPr>
    </w:p>
    <w:p>
      <w:pPr>
        <w:ind w:left="340" w:right="360" w:hanging="332"/>
        <w:spacing w:after="0" w:line="249" w:lineRule="auto"/>
        <w:tabs>
          <w:tab w:leader="none" w:pos="332" w:val="left"/>
        </w:tabs>
        <w:numPr>
          <w:ilvl w:val="0"/>
          <w:numId w:val="7"/>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VII</w:t>
      </w:r>
    </w:p>
    <w:p>
      <w:pPr>
        <w:spacing w:after="0" w:line="16"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color w:val="auto"/>
        </w:rPr>
        <w:t>COMMERCIAL PORTFOLIO</w:t>
      </w:r>
    </w:p>
    <w:p>
      <w:pPr>
        <w:spacing w:after="0" w:line="5" w:lineRule="exact"/>
        <w:rPr>
          <w:sz w:val="20"/>
          <w:szCs w:val="20"/>
          <w:color w:val="auto"/>
        </w:rPr>
      </w:pPr>
    </w:p>
    <w:p>
      <w:pPr>
        <w:ind w:left="4400"/>
        <w:spacing w:after="0"/>
        <w:rPr>
          <w:sz w:val="20"/>
          <w:szCs w:val="20"/>
          <w:color w:val="auto"/>
        </w:rPr>
      </w:pPr>
      <w:r>
        <w:rPr>
          <w:rFonts w:ascii="Times New Roman" w:cs="Times New Roman" w:eastAsia="Times New Roman" w:hAnsi="Times New Roman"/>
          <w:sz w:val="18"/>
          <w:szCs w:val="18"/>
          <w:color w:val="auto"/>
        </w:rPr>
        <w:t>DISTRIBUTION BY COUNTRY</w:t>
      </w: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3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2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60" w:type="dxa"/>
            <w:vAlign w:val="bottom"/>
            <w:gridSpan w:val="4"/>
          </w:tcPr>
          <w:p>
            <w:pPr>
              <w:jc w:val="right"/>
              <w:ind w:right="477"/>
              <w:spacing w:after="0"/>
              <w:rPr>
                <w:sz w:val="20"/>
                <w:szCs w:val="20"/>
                <w:color w:val="auto"/>
              </w:rPr>
            </w:pPr>
            <w:r>
              <w:rPr>
                <w:rFonts w:ascii="Times New Roman" w:cs="Times New Roman" w:eastAsia="Times New Roman" w:hAnsi="Times New Roman"/>
                <w:sz w:val="13"/>
                <w:szCs w:val="13"/>
                <w:color w:val="auto"/>
              </w:rPr>
              <w:t>AT THE END OF,</w:t>
            </w:r>
          </w:p>
        </w:tc>
        <w:tc>
          <w:tcPr>
            <w:tcW w:w="1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340" w:type="dxa"/>
            <w:vAlign w:val="bottom"/>
            <w:tcBorders>
              <w:bottom w:val="single" w:sz="8" w:color="auto"/>
            </w:tcBorders>
          </w:tcPr>
          <w:p>
            <w:pPr>
              <w:spacing w:after="0"/>
              <w:rPr>
                <w:sz w:val="2"/>
                <w:szCs w:val="2"/>
                <w:color w:val="auto"/>
              </w:rPr>
            </w:pPr>
          </w:p>
        </w:tc>
        <w:tc>
          <w:tcPr>
            <w:tcW w:w="4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gridSpan w:val="3"/>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gridSpan w:val="3"/>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7"/>
        </w:trPr>
        <w:tc>
          <w:tcPr>
            <w:tcW w:w="2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220" w:type="dxa"/>
            <w:vAlign w:val="bottom"/>
            <w:gridSpan w:val="3"/>
          </w:tcPr>
          <w:p>
            <w:pPr>
              <w:jc w:val="center"/>
              <w:ind w:right="1000"/>
              <w:spacing w:after="0"/>
              <w:rPr>
                <w:sz w:val="20"/>
                <w:szCs w:val="20"/>
                <w:color w:val="auto"/>
              </w:rPr>
            </w:pPr>
            <w:r>
              <w:rPr>
                <w:rFonts w:ascii="Times New Roman" w:cs="Times New Roman" w:eastAsia="Times New Roman" w:hAnsi="Times New Roman"/>
                <w:sz w:val="13"/>
                <w:szCs w:val="13"/>
                <w:color w:val="auto"/>
                <w:w w:val="99"/>
              </w:rPr>
              <w:t>(A)</w:t>
            </w:r>
          </w:p>
        </w:tc>
        <w:tc>
          <w:tcPr>
            <w:tcW w:w="18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220" w:type="dxa"/>
            <w:vAlign w:val="bottom"/>
            <w:gridSpan w:val="3"/>
          </w:tcPr>
          <w:p>
            <w:pPr>
              <w:jc w:val="center"/>
              <w:ind w:right="1000"/>
              <w:spacing w:after="0"/>
              <w:rPr>
                <w:sz w:val="20"/>
                <w:szCs w:val="20"/>
                <w:color w:val="auto"/>
              </w:rPr>
            </w:pPr>
            <w:r>
              <w:rPr>
                <w:rFonts w:ascii="Times New Roman" w:cs="Times New Roman" w:eastAsia="Times New Roman" w:hAnsi="Times New Roman"/>
                <w:sz w:val="13"/>
                <w:szCs w:val="13"/>
                <w:color w:val="auto"/>
              </w:rPr>
              <w:t>(B)</w:t>
            </w: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40" w:type="dxa"/>
            <w:vAlign w:val="bottom"/>
            <w:gridSpan w:val="3"/>
          </w:tcPr>
          <w:p>
            <w:pPr>
              <w:jc w:val="center"/>
              <w:ind w:right="1000"/>
              <w:spacing w:after="0"/>
              <w:rPr>
                <w:sz w:val="20"/>
                <w:szCs w:val="20"/>
                <w:color w:val="auto"/>
              </w:rPr>
            </w:pPr>
            <w:r>
              <w:rPr>
                <w:rFonts w:ascii="Times New Roman" w:cs="Times New Roman" w:eastAsia="Times New Roman" w:hAnsi="Times New Roman"/>
                <w:sz w:val="13"/>
                <w:szCs w:val="13"/>
                <w:color w:val="auto"/>
                <w:w w:val="92"/>
              </w:rPr>
              <w:t>(C)</w:t>
            </w:r>
          </w:p>
        </w:tc>
        <w:tc>
          <w:tcPr>
            <w:tcW w:w="1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3"/>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620" w:type="dxa"/>
            <w:vAlign w:val="bottom"/>
            <w:gridSpan w:val="4"/>
          </w:tcPr>
          <w:p>
            <w:pPr>
              <w:jc w:val="center"/>
              <w:ind w:right="580"/>
              <w:spacing w:after="0"/>
              <w:rPr>
                <w:sz w:val="20"/>
                <w:szCs w:val="20"/>
                <w:color w:val="auto"/>
              </w:rPr>
            </w:pPr>
            <w:r>
              <w:rPr>
                <w:rFonts w:ascii="Times New Roman" w:cs="Times New Roman" w:eastAsia="Times New Roman" w:hAnsi="Times New Roman"/>
                <w:sz w:val="13"/>
                <w:szCs w:val="13"/>
                <w:color w:val="auto"/>
                <w:w w:val="96"/>
              </w:rPr>
              <w:t>March 31, 2022</w:t>
            </w:r>
          </w:p>
        </w:tc>
        <w:tc>
          <w:tcPr>
            <w:tcW w:w="180" w:type="dxa"/>
            <w:vAlign w:val="bottom"/>
          </w:tcPr>
          <w:p>
            <w:pPr>
              <w:spacing w:after="0"/>
              <w:rPr>
                <w:sz w:val="17"/>
                <w:szCs w:val="17"/>
                <w:color w:val="auto"/>
              </w:rPr>
            </w:pPr>
          </w:p>
        </w:tc>
        <w:tc>
          <w:tcPr>
            <w:tcW w:w="1960" w:type="dxa"/>
            <w:vAlign w:val="bottom"/>
            <w:gridSpan w:val="4"/>
          </w:tcPr>
          <w:p>
            <w:pPr>
              <w:jc w:val="center"/>
              <w:ind w:right="260"/>
              <w:spacing w:after="0"/>
              <w:rPr>
                <w:sz w:val="20"/>
                <w:szCs w:val="20"/>
                <w:color w:val="auto"/>
              </w:rPr>
            </w:pPr>
            <w:r>
              <w:rPr>
                <w:rFonts w:ascii="Times New Roman" w:cs="Times New Roman" w:eastAsia="Times New Roman" w:hAnsi="Times New Roman"/>
                <w:sz w:val="13"/>
                <w:szCs w:val="13"/>
                <w:color w:val="auto"/>
                <w:w w:val="95"/>
              </w:rPr>
              <w:t>December 31, 2021</w:t>
            </w:r>
          </w:p>
        </w:tc>
        <w:tc>
          <w:tcPr>
            <w:tcW w:w="160" w:type="dxa"/>
            <w:vAlign w:val="bottom"/>
          </w:tcPr>
          <w:p>
            <w:pPr>
              <w:spacing w:after="0"/>
              <w:rPr>
                <w:sz w:val="17"/>
                <w:szCs w:val="17"/>
                <w:color w:val="auto"/>
              </w:rPr>
            </w:pPr>
          </w:p>
        </w:tc>
        <w:tc>
          <w:tcPr>
            <w:tcW w:w="2000" w:type="dxa"/>
            <w:vAlign w:val="bottom"/>
            <w:gridSpan w:val="4"/>
          </w:tcPr>
          <w:p>
            <w:pPr>
              <w:jc w:val="center"/>
              <w:ind w:right="240"/>
              <w:spacing w:after="0"/>
              <w:rPr>
                <w:sz w:val="20"/>
                <w:szCs w:val="20"/>
                <w:color w:val="auto"/>
              </w:rPr>
            </w:pPr>
            <w:r>
              <w:rPr>
                <w:rFonts w:ascii="Times New Roman" w:cs="Times New Roman" w:eastAsia="Times New Roman" w:hAnsi="Times New Roman"/>
                <w:sz w:val="13"/>
                <w:szCs w:val="13"/>
                <w:color w:val="auto"/>
                <w:w w:val="96"/>
              </w:rPr>
              <w:t>March 31, 2021</w:t>
            </w:r>
          </w:p>
        </w:tc>
        <w:tc>
          <w:tcPr>
            <w:tcW w:w="160" w:type="dxa"/>
            <w:vAlign w:val="bottom"/>
          </w:tcPr>
          <w:p>
            <w:pPr>
              <w:spacing w:after="0"/>
              <w:rPr>
                <w:sz w:val="17"/>
                <w:szCs w:val="17"/>
                <w:color w:val="auto"/>
              </w:rPr>
            </w:pPr>
          </w:p>
        </w:tc>
        <w:tc>
          <w:tcPr>
            <w:tcW w:w="1760" w:type="dxa"/>
            <w:vAlign w:val="bottom"/>
            <w:gridSpan w:val="4"/>
          </w:tcPr>
          <w:p>
            <w:pPr>
              <w:jc w:val="right"/>
              <w:ind w:right="417"/>
              <w:spacing w:after="0"/>
              <w:rPr>
                <w:sz w:val="20"/>
                <w:szCs w:val="20"/>
                <w:color w:val="auto"/>
              </w:rPr>
            </w:pPr>
            <w:r>
              <w:rPr>
                <w:rFonts w:ascii="Times New Roman" w:cs="Times New Roman" w:eastAsia="Times New Roman" w:hAnsi="Times New Roman"/>
                <w:sz w:val="13"/>
                <w:szCs w:val="13"/>
                <w:color w:val="auto"/>
              </w:rPr>
              <w:t>Change in Amount</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14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gridSpan w:val="2"/>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24"/>
        </w:trPr>
        <w:tc>
          <w:tcPr>
            <w:tcW w:w="2800" w:type="dxa"/>
            <w:vAlign w:val="bottom"/>
            <w:vMerge w:val="restart"/>
          </w:tcPr>
          <w:p>
            <w:pPr>
              <w:ind w:left="20"/>
              <w:spacing w:after="0"/>
              <w:rPr>
                <w:sz w:val="20"/>
                <w:szCs w:val="20"/>
                <w:color w:val="auto"/>
              </w:rPr>
            </w:pPr>
            <w:r>
              <w:rPr>
                <w:rFonts w:ascii="Times New Roman" w:cs="Times New Roman" w:eastAsia="Times New Roman" w:hAnsi="Times New Roman"/>
                <w:sz w:val="13"/>
                <w:szCs w:val="13"/>
                <w:color w:val="auto"/>
              </w:rPr>
              <w:t>COUNTRY</w:t>
            </w:r>
          </w:p>
        </w:tc>
        <w:tc>
          <w:tcPr>
            <w:tcW w:w="100" w:type="dxa"/>
            <w:vAlign w:val="bottom"/>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gridSpan w:val="2"/>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8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8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jc w:val="right"/>
              <w:ind w:right="17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97"/>
              <w:spacing w:after="0"/>
              <w:rPr>
                <w:sz w:val="20"/>
                <w:szCs w:val="20"/>
                <w:color w:val="auto"/>
              </w:rPr>
            </w:pPr>
            <w:r>
              <w:rPr>
                <w:rFonts w:ascii="Times New Roman" w:cs="Times New Roman" w:eastAsia="Times New Roman" w:hAnsi="Times New Roman"/>
                <w:sz w:val="13"/>
                <w:szCs w:val="13"/>
                <w:color w:val="auto"/>
              </w:rPr>
              <w:t>Amount</w:t>
            </w:r>
          </w:p>
        </w:tc>
        <w:tc>
          <w:tcPr>
            <w:tcW w:w="100" w:type="dxa"/>
            <w:vAlign w:val="bottom"/>
            <w:tcBorders>
              <w:top w:val="single" w:sz="8" w:color="auto"/>
            </w:tcBorders>
          </w:tcPr>
          <w:p>
            <w:pPr>
              <w:spacing w:after="0"/>
              <w:rPr>
                <w:sz w:val="10"/>
                <w:szCs w:val="10"/>
                <w:color w:val="auto"/>
              </w:rPr>
            </w:pPr>
          </w:p>
        </w:tc>
        <w:tc>
          <w:tcPr>
            <w:tcW w:w="1040" w:type="dxa"/>
            <w:vAlign w:val="bottom"/>
            <w:tcBorders>
              <w:top w:val="single" w:sz="8" w:color="auto"/>
            </w:tcBorders>
          </w:tcPr>
          <w:p>
            <w:pPr>
              <w:jc w:val="right"/>
              <w:ind w:right="197"/>
              <w:spacing w:after="0" w:line="124" w:lineRule="exact"/>
              <w:rPr>
                <w:sz w:val="20"/>
                <w:szCs w:val="20"/>
                <w:color w:val="auto"/>
              </w:rPr>
            </w:pPr>
            <w:r>
              <w:rPr>
                <w:rFonts w:ascii="Times New Roman" w:cs="Times New Roman" w:eastAsia="Times New Roman" w:hAnsi="Times New Roman"/>
                <w:sz w:val="13"/>
                <w:szCs w:val="13"/>
                <w:color w:val="auto"/>
              </w:rPr>
              <w:t>% of Total</w:t>
            </w:r>
          </w:p>
        </w:tc>
        <w:tc>
          <w:tcPr>
            <w:tcW w:w="100" w:type="dxa"/>
            <w:vAlign w:val="bottom"/>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40" w:type="dxa"/>
            <w:vAlign w:val="bottom"/>
            <w:tcBorders>
              <w:top w:val="single" w:sz="8" w:color="auto"/>
            </w:tcBorders>
            <w:vMerge w:val="restart"/>
          </w:tcPr>
          <w:p>
            <w:pPr>
              <w:jc w:val="right"/>
              <w:ind w:right="157"/>
              <w:spacing w:after="0"/>
              <w:rPr>
                <w:sz w:val="20"/>
                <w:szCs w:val="20"/>
                <w:color w:val="auto"/>
              </w:rPr>
            </w:pPr>
            <w:r>
              <w:rPr>
                <w:rFonts w:ascii="Times New Roman" w:cs="Times New Roman" w:eastAsia="Times New Roman" w:hAnsi="Times New Roman"/>
                <w:sz w:val="13"/>
                <w:szCs w:val="13"/>
                <w:color w:val="auto"/>
              </w:rPr>
              <w:t>(A) - (B)</w:t>
            </w:r>
          </w:p>
        </w:tc>
        <w:tc>
          <w:tcPr>
            <w:tcW w:w="100" w:type="dxa"/>
            <w:vAlign w:val="bottom"/>
            <w:tcBorders>
              <w:top w:val="single" w:sz="8" w:color="auto"/>
            </w:tcBorders>
            <w:vMerge w:val="restart"/>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vMerge w:val="restart"/>
          </w:tcPr>
          <w:p>
            <w:pPr>
              <w:jc w:val="right"/>
              <w:ind w:right="177"/>
              <w:spacing w:after="0"/>
              <w:rPr>
                <w:sz w:val="20"/>
                <w:szCs w:val="20"/>
                <w:color w:val="auto"/>
              </w:rPr>
            </w:pPr>
            <w:r>
              <w:rPr>
                <w:rFonts w:ascii="Times New Roman" w:cs="Times New Roman" w:eastAsia="Times New Roman" w:hAnsi="Times New Roman"/>
                <w:sz w:val="13"/>
                <w:szCs w:val="13"/>
                <w:color w:val="auto"/>
              </w:rPr>
              <w:t>(A) - (C)</w:t>
            </w:r>
          </w:p>
        </w:tc>
        <w:tc>
          <w:tcPr>
            <w:tcW w:w="0" w:type="dxa"/>
            <w:vAlign w:val="bottom"/>
          </w:tcPr>
          <w:p>
            <w:pPr>
              <w:spacing w:after="0"/>
              <w:rPr>
                <w:sz w:val="1"/>
                <w:szCs w:val="1"/>
                <w:color w:val="auto"/>
              </w:rPr>
            </w:pPr>
          </w:p>
        </w:tc>
      </w:tr>
      <w:tr>
        <w:trPr>
          <w:trHeight w:val="174"/>
        </w:trPr>
        <w:tc>
          <w:tcPr>
            <w:tcW w:w="280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40" w:type="dxa"/>
            <w:vAlign w:val="bottom"/>
            <w:tcBorders>
              <w:bottom w:val="single" w:sz="8" w:color="auto"/>
            </w:tcBorders>
            <w:gridSpan w:val="2"/>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4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80" w:type="dxa"/>
            <w:vAlign w:val="bottom"/>
            <w:tcBorders>
              <w:bottom w:val="single" w:sz="8" w:color="CCEEFF"/>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740" w:type="dxa"/>
            <w:vAlign w:val="bottom"/>
            <w:tcBorders>
              <w:bottom w:val="single" w:sz="8" w:color="auto"/>
            </w:tcBorders>
            <w:vMerge w:val="continue"/>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040" w:type="dxa"/>
            <w:vAlign w:val="bottom"/>
            <w:tcBorders>
              <w:bottom w:val="single" w:sz="8" w:color="auto"/>
            </w:tcBorders>
          </w:tcPr>
          <w:p>
            <w:pPr>
              <w:jc w:val="right"/>
              <w:ind w:right="11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040" w:type="dxa"/>
            <w:vAlign w:val="bottom"/>
            <w:tcBorders>
              <w:bottom w:val="single" w:sz="8" w:color="auto"/>
            </w:tcBorders>
          </w:tcPr>
          <w:p>
            <w:pPr>
              <w:jc w:val="right"/>
              <w:ind w:right="137"/>
              <w:spacing w:after="0"/>
              <w:rPr>
                <w:sz w:val="20"/>
                <w:szCs w:val="20"/>
                <w:color w:val="auto"/>
              </w:rPr>
            </w:pPr>
            <w:r>
              <w:rPr>
                <w:rFonts w:ascii="Times New Roman" w:cs="Times New Roman" w:eastAsia="Times New Roman" w:hAnsi="Times New Roman"/>
                <w:sz w:val="13"/>
                <w:szCs w:val="13"/>
                <w:color w:val="auto"/>
              </w:rPr>
              <w:t>Outstanding</w:t>
            </w:r>
          </w:p>
        </w:tc>
        <w:tc>
          <w:tcPr>
            <w:tcW w:w="10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40" w:type="dxa"/>
            <w:vAlign w:val="bottom"/>
            <w:tcBorders>
              <w:bottom w:val="single" w:sz="8" w:color="auto"/>
            </w:tcBorders>
            <w:vMerge w:val="continue"/>
          </w:tcPr>
          <w:p>
            <w:pPr>
              <w:spacing w:after="0"/>
              <w:rPr>
                <w:sz w:val="15"/>
                <w:szCs w:val="15"/>
                <w:color w:val="auto"/>
              </w:rPr>
            </w:pPr>
          </w:p>
        </w:tc>
        <w:tc>
          <w:tcPr>
            <w:tcW w:w="100" w:type="dxa"/>
            <w:vAlign w:val="bottom"/>
            <w:tcBorders>
              <w:bottom w:val="single" w:sz="8" w:color="CCEEFF"/>
            </w:tcBorders>
            <w:vMerge w:val="continue"/>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60" w:type="dxa"/>
            <w:vAlign w:val="bottom"/>
            <w:tcBorders>
              <w:bottom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ARGENTINA</w:t>
            </w: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BOLIVIA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BRAZIL</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1,102</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1,159</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(85)</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(142)</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CHILE</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661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667</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604</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COLOMBIA</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859</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846</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704</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155</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COSTA RICA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303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270</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DOMINICAN REPUBLIC</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292</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205</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112</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ECUADOR</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367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319</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212</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155</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EL SALVADOR</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GUATEMALA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572</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490</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338</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234</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HONDURAS</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258</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208</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238</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JAMAICA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78</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w:t>
            </w:r>
          </w:p>
        </w:tc>
        <w:tc>
          <w:tcPr>
            <w:tcW w:w="0" w:type="dxa"/>
            <w:vAlign w:val="bottom"/>
          </w:tcPr>
          <w:p>
            <w:pPr>
              <w:spacing w:after="0"/>
              <w:rPr>
                <w:sz w:val="1"/>
                <w:szCs w:val="1"/>
                <w:color w:val="auto"/>
              </w:rPr>
            </w:pPr>
          </w:p>
        </w:tc>
      </w:tr>
      <w:tr>
        <w:trPr>
          <w:trHeight w:val="29"/>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MEXICO</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837</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731</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549</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106</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288</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PANAMA</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387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270</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314</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117</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73</w:t>
            </w:r>
          </w:p>
        </w:tc>
        <w:tc>
          <w:tcPr>
            <w:tcW w:w="0" w:type="dxa"/>
            <w:vAlign w:val="bottom"/>
          </w:tcPr>
          <w:p>
            <w:pPr>
              <w:spacing w:after="0"/>
              <w:rPr>
                <w:sz w:val="1"/>
                <w:szCs w:val="1"/>
                <w:color w:val="auto"/>
              </w:rPr>
            </w:pPr>
          </w:p>
        </w:tc>
      </w:tr>
      <w:tr>
        <w:trPr>
          <w:trHeight w:val="30"/>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PARAGUAY</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122</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128</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PERU</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539</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409</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369</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130</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170</w:t>
            </w:r>
          </w:p>
        </w:tc>
        <w:tc>
          <w:tcPr>
            <w:tcW w:w="0" w:type="dxa"/>
            <w:vAlign w:val="bottom"/>
          </w:tcPr>
          <w:p>
            <w:pPr>
              <w:spacing w:after="0"/>
              <w:rPr>
                <w:sz w:val="1"/>
                <w:szCs w:val="1"/>
                <w:color w:val="auto"/>
              </w:rPr>
            </w:pPr>
          </w:p>
        </w:tc>
      </w:tr>
      <w:tr>
        <w:trPr>
          <w:trHeight w:val="30"/>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2900" w:type="dxa"/>
            <w:vAlign w:val="bottom"/>
            <w:tcBorders>
              <w:bottom w:val="single" w:sz="8" w:color="CCEEFF"/>
            </w:tcBorders>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TRINIDAD &amp; TOBAGO</w:t>
            </w: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134</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141</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152</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0" w:type="dxa"/>
            <w:vAlign w:val="bottom"/>
          </w:tcPr>
          <w:p>
            <w:pPr>
              <w:spacing w:after="0"/>
              <w:rPr>
                <w:sz w:val="1"/>
                <w:szCs w:val="1"/>
                <w:color w:val="auto"/>
              </w:rPr>
            </w:pPr>
          </w:p>
        </w:tc>
      </w:tr>
      <w:tr>
        <w:trPr>
          <w:trHeight w:val="173"/>
        </w:trPr>
        <w:tc>
          <w:tcPr>
            <w:tcW w:w="2900" w:type="dxa"/>
            <w:vAlign w:val="bottom"/>
            <w:gridSpan w:val="2"/>
          </w:tcPr>
          <w:p>
            <w:pPr>
              <w:ind w:left="60"/>
              <w:spacing w:after="0"/>
              <w:rPr>
                <w:sz w:val="20"/>
                <w:szCs w:val="20"/>
                <w:color w:val="auto"/>
              </w:rPr>
            </w:pPr>
            <w:r>
              <w:rPr>
                <w:rFonts w:ascii="Times New Roman" w:cs="Times New Roman" w:eastAsia="Times New Roman" w:hAnsi="Times New Roman"/>
                <w:sz w:val="13"/>
                <w:szCs w:val="13"/>
                <w:color w:val="auto"/>
              </w:rPr>
              <w:t>URUGUAY</w:t>
            </w:r>
          </w:p>
        </w:tc>
        <w:tc>
          <w:tcPr>
            <w:tcW w:w="160" w:type="dxa"/>
            <w:vAlign w:val="bottom"/>
          </w:tcPr>
          <w:p>
            <w:pPr>
              <w:spacing w:after="0"/>
              <w:rPr>
                <w:sz w:val="15"/>
                <w:szCs w:val="15"/>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127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149</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0" w:type="dxa"/>
            <w:vAlign w:val="bottom"/>
          </w:tcPr>
          <w:p>
            <w:pPr>
              <w:spacing w:after="0"/>
              <w:rPr>
                <w:sz w:val="1"/>
                <w:szCs w:val="1"/>
                <w:color w:val="auto"/>
              </w:rPr>
            </w:pPr>
          </w:p>
        </w:tc>
      </w:tr>
      <w:tr>
        <w:trPr>
          <w:trHeight w:val="30"/>
        </w:trPr>
        <w:tc>
          <w:tcPr>
            <w:tcW w:w="2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340" w:type="dxa"/>
            <w:vAlign w:val="bottom"/>
          </w:tcPr>
          <w:p>
            <w:pPr>
              <w:spacing w:after="0"/>
              <w:rPr>
                <w:sz w:val="2"/>
                <w:szCs w:val="2"/>
                <w:color w:val="auto"/>
              </w:rPr>
            </w:pPr>
          </w:p>
        </w:tc>
        <w:tc>
          <w:tcPr>
            <w:tcW w:w="4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7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7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2900" w:type="dxa"/>
            <w:vAlign w:val="bottom"/>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 xml:space="preserve">OTHER NON-LATAM </w:t>
            </w:r>
            <w:r>
              <w:rPr>
                <w:rFonts w:ascii="Times New Roman" w:cs="Times New Roman" w:eastAsia="Times New Roman" w:hAnsi="Times New Roman"/>
                <w:sz w:val="16"/>
                <w:szCs w:val="16"/>
                <w:color w:val="auto"/>
                <w:vertAlign w:val="superscript"/>
              </w:rPr>
              <w:t>(1)</w:t>
            </w:r>
          </w:p>
        </w:tc>
        <w:tc>
          <w:tcPr>
            <w:tcW w:w="1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572</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531</w:t>
            </w:r>
          </w:p>
        </w:tc>
        <w:tc>
          <w:tcPr>
            <w:tcW w:w="11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466</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106</w:t>
            </w:r>
          </w:p>
        </w:tc>
        <w:tc>
          <w:tcPr>
            <w:tcW w:w="0" w:type="dxa"/>
            <w:vAlign w:val="bottom"/>
          </w:tcPr>
          <w:p>
            <w:pPr>
              <w:spacing w:after="0"/>
              <w:rPr>
                <w:sz w:val="1"/>
                <w:szCs w:val="1"/>
                <w:color w:val="auto"/>
              </w:rPr>
            </w:pPr>
          </w:p>
        </w:tc>
      </w:tr>
      <w:tr>
        <w:trPr>
          <w:trHeight w:val="196"/>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9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 xml:space="preserve">TOTAL COMMERCIAL PORTFOLIO </w:t>
            </w:r>
            <w:r>
              <w:rPr>
                <w:rFonts w:ascii="Times New Roman" w:cs="Times New Roman" w:eastAsia="Times New Roman" w:hAnsi="Times New Roman"/>
                <w:sz w:val="16"/>
                <w:szCs w:val="16"/>
                <w:color w:val="auto"/>
                <w:vertAlign w:val="superscript"/>
              </w:rPr>
              <w:t>(2)</w:t>
            </w: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7,321</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6,540</w:t>
            </w:r>
          </w:p>
        </w:tc>
        <w:tc>
          <w:tcPr>
            <w:tcW w:w="11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5,708</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100 %</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781</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1,613</w:t>
            </w:r>
          </w:p>
        </w:tc>
        <w:tc>
          <w:tcPr>
            <w:tcW w:w="0" w:type="dxa"/>
            <w:vAlign w:val="bottom"/>
          </w:tcPr>
          <w:p>
            <w:pPr>
              <w:spacing w:after="0"/>
              <w:rPr>
                <w:sz w:val="1"/>
                <w:szCs w:val="1"/>
                <w:color w:val="auto"/>
              </w:rPr>
            </w:pPr>
          </w:p>
        </w:tc>
      </w:tr>
      <w:tr>
        <w:trPr>
          <w:trHeight w:val="203"/>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9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UNEARNED INTEREST AND DEFERRED FEES</w:t>
            </w:r>
          </w:p>
        </w:tc>
        <w:tc>
          <w:tcPr>
            <w:tcW w:w="160" w:type="dxa"/>
            <w:vAlign w:val="bottom"/>
            <w:tcBorders>
              <w:bottom w:val="single" w:sz="8" w:color="CCEEFF"/>
            </w:tcBorders>
            <w:shd w:val="clear" w:color="auto" w:fill="CCEEFF"/>
          </w:tcPr>
          <w:p>
            <w:pPr>
              <w:spacing w:after="0"/>
              <w:rPr>
                <w:sz w:val="17"/>
                <w:szCs w:val="17"/>
                <w:color w:val="auto"/>
              </w:rPr>
            </w:pPr>
          </w:p>
        </w:tc>
        <w:tc>
          <w:tcPr>
            <w:tcW w:w="7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8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0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CCEEFF"/>
            </w:tcBorders>
            <w:shd w:val="clear" w:color="auto" w:fill="CCEEFF"/>
          </w:tcPr>
          <w:p>
            <w:pPr>
              <w:spacing w:after="0"/>
              <w:rPr>
                <w:sz w:val="17"/>
                <w:szCs w:val="17"/>
                <w:color w:val="auto"/>
              </w:rPr>
            </w:pPr>
          </w:p>
        </w:tc>
        <w:tc>
          <w:tcPr>
            <w:tcW w:w="7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0" w:type="dxa"/>
            <w:vAlign w:val="bottom"/>
          </w:tcPr>
          <w:p>
            <w:pPr>
              <w:spacing w:after="0"/>
              <w:rPr>
                <w:sz w:val="1"/>
                <w:szCs w:val="1"/>
                <w:color w:val="auto"/>
              </w:rPr>
            </w:pPr>
          </w:p>
        </w:tc>
      </w:tr>
      <w:tr>
        <w:trPr>
          <w:trHeight w:val="196"/>
        </w:trPr>
        <w:tc>
          <w:tcPr>
            <w:tcW w:w="2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7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57"/>
        </w:trPr>
        <w:tc>
          <w:tcPr>
            <w:tcW w:w="29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TOTAL COMMERCIAL PORTFOLIO, NET OF</w:t>
            </w: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7,311</w:t>
            </w:r>
          </w:p>
        </w:tc>
        <w:tc>
          <w:tcPr>
            <w:tcW w:w="10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8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rPr>
              <w:t>$</w:t>
            </w:r>
          </w:p>
        </w:tc>
        <w:tc>
          <w:tcPr>
            <w:tcW w:w="7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6,531</w:t>
            </w:r>
          </w:p>
        </w:tc>
        <w:tc>
          <w:tcPr>
            <w:tcW w:w="8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5,702</w:t>
            </w:r>
          </w:p>
        </w:tc>
        <w:tc>
          <w:tcPr>
            <w:tcW w:w="10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780</w:t>
            </w:r>
          </w:p>
        </w:tc>
        <w:tc>
          <w:tcPr>
            <w:tcW w:w="100" w:type="dxa"/>
            <w:vAlign w:val="bottom"/>
            <w:shd w:val="clear" w:color="auto" w:fill="CCEEFF"/>
          </w:tcPr>
          <w:p>
            <w:pPr>
              <w:spacing w:after="0"/>
              <w:rPr>
                <w:sz w:val="13"/>
                <w:szCs w:val="13"/>
                <w:color w:val="auto"/>
              </w:rPr>
            </w:pPr>
          </w:p>
        </w:tc>
        <w:tc>
          <w:tcPr>
            <w:tcW w:w="160" w:type="dxa"/>
            <w:vAlign w:val="bottom"/>
            <w:vMerge w:val="restart"/>
            <w:shd w:val="clear" w:color="auto" w:fill="CCEEFF"/>
          </w:tcPr>
          <w:p>
            <w:pPr>
              <w:jc w:val="right"/>
              <w:ind w:right="17"/>
              <w:spacing w:after="0"/>
              <w:rPr>
                <w:sz w:val="20"/>
                <w:szCs w:val="20"/>
                <w:color w:val="auto"/>
              </w:rPr>
            </w:pPr>
            <w:r>
              <w:rPr>
                <w:rFonts w:ascii="Times New Roman" w:cs="Times New Roman" w:eastAsia="Times New Roman" w:hAnsi="Times New Roman"/>
                <w:sz w:val="13"/>
                <w:szCs w:val="13"/>
                <w:color w:val="auto"/>
                <w:w w:val="91"/>
              </w:rPr>
              <w:t>$</w:t>
            </w: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1,609</w:t>
            </w:r>
          </w:p>
        </w:tc>
        <w:tc>
          <w:tcPr>
            <w:tcW w:w="0" w:type="dxa"/>
            <w:vAlign w:val="bottom"/>
          </w:tcPr>
          <w:p>
            <w:pPr>
              <w:spacing w:after="0"/>
              <w:rPr>
                <w:sz w:val="1"/>
                <w:szCs w:val="1"/>
                <w:color w:val="auto"/>
              </w:rPr>
            </w:pPr>
          </w:p>
        </w:tc>
      </w:tr>
      <w:tr>
        <w:trPr>
          <w:trHeight w:val="173"/>
        </w:trPr>
        <w:tc>
          <w:tcPr>
            <w:tcW w:w="2900" w:type="dxa"/>
            <w:vAlign w:val="bottom"/>
            <w:tcBorders>
              <w:bottom w:val="single" w:sz="8" w:color="CCEEFF"/>
            </w:tcBorders>
            <w:gridSpan w:val="2"/>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UNEARNED INTEREST &amp; DEFERRED FEES</w:t>
            </w: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40" w:type="dxa"/>
            <w:vAlign w:val="bottom"/>
            <w:tcBorders>
              <w:bottom w:val="single" w:sz="8" w:color="auto"/>
            </w:tcBorders>
            <w:gridSpan w:val="2"/>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auto"/>
            </w:tcBorders>
            <w:vMerge w:val="continue"/>
            <w:shd w:val="clear" w:color="auto" w:fill="CCEEFF"/>
          </w:tcPr>
          <w:p>
            <w:pPr>
              <w:spacing w:after="0"/>
              <w:rPr>
                <w:sz w:val="15"/>
                <w:szCs w:val="15"/>
                <w:color w:val="auto"/>
              </w:rPr>
            </w:pPr>
          </w:p>
        </w:tc>
        <w:tc>
          <w:tcPr>
            <w:tcW w:w="740" w:type="dxa"/>
            <w:vAlign w:val="bottom"/>
            <w:tcBorders>
              <w:bottom w:val="single" w:sz="8" w:color="auto"/>
            </w:tcBorders>
            <w:vMerge w:val="continue"/>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40" w:type="dxa"/>
            <w:vAlign w:val="bottom"/>
            <w:tcBorders>
              <w:bottom w:val="single" w:sz="8" w:color="auto"/>
            </w:tcBorders>
            <w:vMerge w:val="continue"/>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auto"/>
            </w:tcBorders>
            <w:vMerge w:val="continue"/>
            <w:shd w:val="clear" w:color="auto" w:fill="CCEEFF"/>
          </w:tcPr>
          <w:p>
            <w:pPr>
              <w:spacing w:after="0"/>
              <w:rPr>
                <w:sz w:val="15"/>
                <w:szCs w:val="15"/>
                <w:color w:val="auto"/>
              </w:rPr>
            </w:pPr>
          </w:p>
        </w:tc>
        <w:tc>
          <w:tcPr>
            <w:tcW w:w="760" w:type="dxa"/>
            <w:vAlign w:val="bottom"/>
            <w:tcBorders>
              <w:bottom w:val="single" w:sz="8" w:color="auto"/>
            </w:tcBorders>
            <w:vMerge w:val="continue"/>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8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340" w:type="dxa"/>
            <w:vAlign w:val="bottom"/>
            <w:tcBorders>
              <w:top w:val="single" w:sz="8" w:color="CCEEFF"/>
              <w:bottom w:val="single" w:sz="8" w:color="auto"/>
            </w:tcBorders>
          </w:tcPr>
          <w:p>
            <w:pPr>
              <w:spacing w:after="0" w:line="20" w:lineRule="exact"/>
              <w:rPr>
                <w:sz w:val="1"/>
                <w:szCs w:val="1"/>
                <w:color w:val="auto"/>
              </w:rPr>
            </w:pPr>
          </w:p>
        </w:tc>
        <w:tc>
          <w:tcPr>
            <w:tcW w:w="4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7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0"/>
        </w:trPr>
        <w:tc>
          <w:tcPr>
            <w:tcW w:w="28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340" w:type="dxa"/>
            <w:vAlign w:val="bottom"/>
            <w:tcBorders>
              <w:bottom w:val="single" w:sz="8" w:color="auto"/>
            </w:tcBorders>
          </w:tcPr>
          <w:p>
            <w:pPr>
              <w:spacing w:after="0"/>
              <w:rPr>
                <w:sz w:val="13"/>
                <w:szCs w:val="13"/>
                <w:color w:val="auto"/>
              </w:rPr>
            </w:pP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90" w:lineRule="exact"/>
        <w:rPr>
          <w:sz w:val="20"/>
          <w:szCs w:val="20"/>
          <w:color w:val="auto"/>
        </w:rPr>
      </w:pPr>
    </w:p>
    <w:p>
      <w:pPr>
        <w:ind w:left="340" w:hanging="332"/>
        <w:spacing w:after="0" w:line="253" w:lineRule="auto"/>
        <w:tabs>
          <w:tab w:leader="none" w:pos="334"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Risk in highly rated countries outside the Region related to transactions carried out in the Region. As of March 31, 2022, Other Non-Latam was comprised of United States of America ($38 million), European countries ($341 million) and Asian countries ($193 million).</w:t>
      </w:r>
    </w:p>
    <w:p>
      <w:pPr>
        <w:ind w:left="340" w:hanging="332"/>
        <w:spacing w:after="0" w:line="245" w:lineRule="auto"/>
        <w:tabs>
          <w:tab w:leader="none" w:pos="334"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0" w:name="page21"/>
    <w:bookmarkEnd w:id="20"/>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VIII</w:t>
      </w:r>
    </w:p>
    <w:p>
      <w:pPr>
        <w:spacing w:after="0" w:line="16" w:lineRule="exact"/>
        <w:rPr>
          <w:sz w:val="20"/>
          <w:szCs w:val="20"/>
          <w:color w:val="auto"/>
        </w:rPr>
      </w:pPr>
    </w:p>
    <w:p>
      <w:pPr>
        <w:ind w:left="4540"/>
        <w:spacing w:after="0"/>
        <w:rPr>
          <w:sz w:val="20"/>
          <w:szCs w:val="20"/>
          <w:color w:val="auto"/>
        </w:rPr>
      </w:pPr>
      <w:r>
        <w:rPr>
          <w:rFonts w:ascii="Times New Roman" w:cs="Times New Roman" w:eastAsia="Times New Roman" w:hAnsi="Times New Roman"/>
          <w:sz w:val="18"/>
          <w:szCs w:val="18"/>
          <w:color w:val="auto"/>
        </w:rPr>
        <w:t>INVESTMENT PORTFOLIO</w:t>
      </w:r>
    </w:p>
    <w:p>
      <w:pPr>
        <w:spacing w:after="0" w:line="5" w:lineRule="exact"/>
        <w:rPr>
          <w:sz w:val="20"/>
          <w:szCs w:val="20"/>
          <w:color w:val="auto"/>
        </w:rPr>
      </w:pPr>
    </w:p>
    <w:p>
      <w:pPr>
        <w:ind w:left="4400"/>
        <w:spacing w:after="0"/>
        <w:rPr>
          <w:sz w:val="20"/>
          <w:szCs w:val="20"/>
          <w:color w:val="auto"/>
        </w:rPr>
      </w:pPr>
      <w:r>
        <w:rPr>
          <w:rFonts w:ascii="Times New Roman" w:cs="Times New Roman" w:eastAsia="Times New Roman" w:hAnsi="Times New Roman"/>
          <w:sz w:val="18"/>
          <w:szCs w:val="18"/>
          <w:color w:val="auto"/>
        </w:rPr>
        <w:t>DISTRIBUTION BY COUNTRY</w:t>
      </w: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25" w:lineRule="exact"/>
        <w:rPr>
          <w:sz w:val="20"/>
          <w:szCs w:val="20"/>
          <w:color w:val="auto"/>
        </w:rPr>
      </w:pPr>
    </w:p>
    <w:tbl>
      <w:tblPr>
        <w:tblLayout w:type="fixed"/>
        <w:tblInd w:w="0" w:type="dxa"/>
        <w:tblCellMar>
          <w:top w:w="0" w:type="dxa"/>
          <w:left w:w="0" w:type="dxa"/>
          <w:bottom w:w="0" w:type="dxa"/>
          <w:right w:w="0" w:type="dxa"/>
        </w:tblCellMar>
      </w:tblPr>
      <w:tr>
        <w:trPr>
          <w:trHeight w:val="188"/>
        </w:trPr>
        <w:tc>
          <w:tcPr>
            <w:tcW w:w="2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80" w:type="dxa"/>
            <w:vAlign w:val="bottom"/>
            <w:gridSpan w:val="5"/>
          </w:tcPr>
          <w:p>
            <w:pPr>
              <w:ind w:left="540"/>
              <w:spacing w:after="0"/>
              <w:rPr>
                <w:sz w:val="20"/>
                <w:szCs w:val="20"/>
                <w:color w:val="auto"/>
              </w:rPr>
            </w:pPr>
            <w:r>
              <w:rPr>
                <w:rFonts w:ascii="Times New Roman" w:cs="Times New Roman" w:eastAsia="Times New Roman" w:hAnsi="Times New Roman"/>
                <w:sz w:val="14"/>
                <w:szCs w:val="14"/>
                <w:color w:val="auto"/>
              </w:rPr>
              <w:t>AT THE END OF,</w:t>
            </w: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86"/>
        </w:trPr>
        <w:tc>
          <w:tcPr>
            <w:tcW w:w="2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gridSpan w:val="2"/>
          </w:tcPr>
          <w:p>
            <w:pPr>
              <w:jc w:val="center"/>
              <w:ind w:right="1040"/>
              <w:spacing w:after="0"/>
              <w:rPr>
                <w:sz w:val="20"/>
                <w:szCs w:val="20"/>
                <w:color w:val="auto"/>
              </w:rPr>
            </w:pPr>
            <w:r>
              <w:rPr>
                <w:rFonts w:ascii="Times New Roman" w:cs="Times New Roman" w:eastAsia="Times New Roman" w:hAnsi="Times New Roman"/>
                <w:sz w:val="14"/>
                <w:szCs w:val="14"/>
                <w:color w:val="auto"/>
              </w:rPr>
              <w:t>(A)</w:t>
            </w: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gridSpan w:val="2"/>
          </w:tcPr>
          <w:p>
            <w:pPr>
              <w:jc w:val="center"/>
              <w:ind w:right="1040"/>
              <w:spacing w:after="0"/>
              <w:rPr>
                <w:sz w:val="20"/>
                <w:szCs w:val="20"/>
                <w:color w:val="auto"/>
              </w:rPr>
            </w:pPr>
            <w:r>
              <w:rPr>
                <w:rFonts w:ascii="Times New Roman" w:cs="Times New Roman" w:eastAsia="Times New Roman" w:hAnsi="Times New Roman"/>
                <w:sz w:val="14"/>
                <w:szCs w:val="14"/>
                <w:color w:val="auto"/>
              </w:rPr>
              <w:t>(B)</w:t>
            </w: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gridSpan w:val="2"/>
          </w:tcPr>
          <w:p>
            <w:pPr>
              <w:jc w:val="center"/>
              <w:ind w:right="1040"/>
              <w:spacing w:after="0"/>
              <w:rPr>
                <w:sz w:val="20"/>
                <w:szCs w:val="20"/>
                <w:color w:val="auto"/>
              </w:rPr>
            </w:pPr>
            <w:r>
              <w:rPr>
                <w:rFonts w:ascii="Times New Roman" w:cs="Times New Roman" w:eastAsia="Times New Roman" w:hAnsi="Times New Roman"/>
                <w:sz w:val="14"/>
                <w:szCs w:val="14"/>
                <w:color w:val="auto"/>
              </w:rPr>
              <w:t>(C)</w:t>
            </w: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140" w:type="dxa"/>
            <w:vAlign w:val="bottom"/>
            <w:gridSpan w:val="4"/>
          </w:tcPr>
          <w:p>
            <w:pPr>
              <w:jc w:val="center"/>
              <w:ind w:right="220"/>
              <w:spacing w:after="0"/>
              <w:rPr>
                <w:sz w:val="20"/>
                <w:szCs w:val="20"/>
                <w:color w:val="auto"/>
              </w:rPr>
            </w:pPr>
            <w:r>
              <w:rPr>
                <w:rFonts w:ascii="Times New Roman" w:cs="Times New Roman" w:eastAsia="Times New Roman" w:hAnsi="Times New Roman"/>
                <w:sz w:val="13"/>
                <w:szCs w:val="13"/>
                <w:color w:val="auto"/>
                <w:w w:val="96"/>
              </w:rPr>
              <w:t>March 31, 2022</w:t>
            </w:r>
          </w:p>
        </w:tc>
        <w:tc>
          <w:tcPr>
            <w:tcW w:w="140" w:type="dxa"/>
            <w:vAlign w:val="bottom"/>
          </w:tcPr>
          <w:p>
            <w:pPr>
              <w:spacing w:after="0"/>
              <w:rPr>
                <w:sz w:val="18"/>
                <w:szCs w:val="18"/>
                <w:color w:val="auto"/>
              </w:rPr>
            </w:pPr>
          </w:p>
        </w:tc>
        <w:tc>
          <w:tcPr>
            <w:tcW w:w="2140" w:type="dxa"/>
            <w:vAlign w:val="bottom"/>
            <w:gridSpan w:val="4"/>
          </w:tcPr>
          <w:p>
            <w:pPr>
              <w:jc w:val="center"/>
              <w:ind w:right="240"/>
              <w:spacing w:after="0"/>
              <w:rPr>
                <w:sz w:val="20"/>
                <w:szCs w:val="20"/>
                <w:color w:val="auto"/>
              </w:rPr>
            </w:pPr>
            <w:r>
              <w:rPr>
                <w:rFonts w:ascii="Times New Roman" w:cs="Times New Roman" w:eastAsia="Times New Roman" w:hAnsi="Times New Roman"/>
                <w:sz w:val="13"/>
                <w:szCs w:val="13"/>
                <w:color w:val="auto"/>
                <w:w w:val="95"/>
              </w:rPr>
              <w:t>December 31, 2021</w:t>
            </w:r>
          </w:p>
        </w:tc>
        <w:tc>
          <w:tcPr>
            <w:tcW w:w="140" w:type="dxa"/>
            <w:vAlign w:val="bottom"/>
          </w:tcPr>
          <w:p>
            <w:pPr>
              <w:spacing w:after="0"/>
              <w:rPr>
                <w:sz w:val="18"/>
                <w:szCs w:val="18"/>
                <w:color w:val="auto"/>
              </w:rPr>
            </w:pPr>
          </w:p>
        </w:tc>
        <w:tc>
          <w:tcPr>
            <w:tcW w:w="2140" w:type="dxa"/>
            <w:vAlign w:val="bottom"/>
            <w:gridSpan w:val="4"/>
          </w:tcPr>
          <w:p>
            <w:pPr>
              <w:jc w:val="center"/>
              <w:ind w:right="220"/>
              <w:spacing w:after="0"/>
              <w:rPr>
                <w:sz w:val="20"/>
                <w:szCs w:val="20"/>
                <w:color w:val="auto"/>
              </w:rPr>
            </w:pPr>
            <w:r>
              <w:rPr>
                <w:rFonts w:ascii="Times New Roman" w:cs="Times New Roman" w:eastAsia="Times New Roman" w:hAnsi="Times New Roman"/>
                <w:sz w:val="13"/>
                <w:szCs w:val="13"/>
                <w:color w:val="auto"/>
                <w:w w:val="96"/>
              </w:rPr>
              <w:t>March 31, 2021</w:t>
            </w:r>
          </w:p>
        </w:tc>
        <w:tc>
          <w:tcPr>
            <w:tcW w:w="140" w:type="dxa"/>
            <w:vAlign w:val="bottom"/>
          </w:tcPr>
          <w:p>
            <w:pPr>
              <w:spacing w:after="0"/>
              <w:rPr>
                <w:sz w:val="18"/>
                <w:szCs w:val="18"/>
                <w:color w:val="auto"/>
              </w:rPr>
            </w:pPr>
          </w:p>
        </w:tc>
        <w:tc>
          <w:tcPr>
            <w:tcW w:w="1660" w:type="dxa"/>
            <w:vAlign w:val="bottom"/>
            <w:gridSpan w:val="4"/>
          </w:tcPr>
          <w:p>
            <w:pPr>
              <w:jc w:val="right"/>
              <w:ind w:right="288"/>
              <w:spacing w:after="0"/>
              <w:rPr>
                <w:sz w:val="20"/>
                <w:szCs w:val="20"/>
                <w:color w:val="auto"/>
              </w:rPr>
            </w:pPr>
            <w:r>
              <w:rPr>
                <w:rFonts w:ascii="Times New Roman" w:cs="Times New Roman" w:eastAsia="Times New Roman" w:hAnsi="Times New Roman"/>
                <w:sz w:val="14"/>
                <w:szCs w:val="14"/>
                <w:color w:val="auto"/>
              </w:rPr>
              <w:t>Change in Amount</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gridSpan w:val="2"/>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gridSpan w:val="2"/>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gridSpan w:val="2"/>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33"/>
        </w:trPr>
        <w:tc>
          <w:tcPr>
            <w:tcW w:w="2500" w:type="dxa"/>
            <w:vAlign w:val="bottom"/>
            <w:vMerge w:val="restart"/>
          </w:tcPr>
          <w:p>
            <w:pPr>
              <w:ind w:left="20"/>
              <w:spacing w:after="0"/>
              <w:rPr>
                <w:sz w:val="20"/>
                <w:szCs w:val="20"/>
                <w:color w:val="auto"/>
              </w:rPr>
            </w:pPr>
            <w:r>
              <w:rPr>
                <w:rFonts w:ascii="Times New Roman" w:cs="Times New Roman" w:eastAsia="Times New Roman" w:hAnsi="Times New Roman"/>
                <w:sz w:val="14"/>
                <w:szCs w:val="14"/>
                <w:color w:val="auto"/>
              </w:rPr>
              <w:t>COUNTRY</w:t>
            </w:r>
          </w:p>
        </w:tc>
        <w:tc>
          <w:tcPr>
            <w:tcW w:w="100" w:type="dxa"/>
            <w:vAlign w:val="bottom"/>
            <w:vMerge w:val="restart"/>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129"/>
              <w:spacing w:after="0"/>
              <w:rPr>
                <w:sz w:val="20"/>
                <w:szCs w:val="20"/>
                <w:color w:val="auto"/>
              </w:rPr>
            </w:pPr>
            <w:r>
              <w:rPr>
                <w:rFonts w:ascii="Times New Roman" w:cs="Times New Roman" w:eastAsia="Times New Roman" w:hAnsi="Times New Roman"/>
                <w:sz w:val="14"/>
                <w:szCs w:val="14"/>
                <w:color w:val="auto"/>
              </w:rPr>
              <w:t>Amount</w:t>
            </w:r>
          </w:p>
        </w:tc>
        <w:tc>
          <w:tcPr>
            <w:tcW w:w="100" w:type="dxa"/>
            <w:vAlign w:val="bottom"/>
            <w:tcBorders>
              <w:top w:val="single" w:sz="8" w:color="auto"/>
            </w:tcBorders>
            <w:vMerge w:val="restart"/>
          </w:tcPr>
          <w:p>
            <w:pPr>
              <w:spacing w:after="0"/>
              <w:rPr>
                <w:sz w:val="11"/>
                <w:szCs w:val="11"/>
                <w:color w:val="auto"/>
              </w:rPr>
            </w:pPr>
          </w:p>
        </w:tc>
        <w:tc>
          <w:tcPr>
            <w:tcW w:w="1220" w:type="dxa"/>
            <w:vAlign w:val="bottom"/>
            <w:tcBorders>
              <w:top w:val="single" w:sz="8" w:color="auto"/>
            </w:tcBorders>
          </w:tcPr>
          <w:p>
            <w:pPr>
              <w:jc w:val="right"/>
              <w:ind w:right="228"/>
              <w:spacing w:after="0" w:line="133" w:lineRule="exact"/>
              <w:rPr>
                <w:sz w:val="20"/>
                <w:szCs w:val="20"/>
                <w:color w:val="auto"/>
              </w:rPr>
            </w:pPr>
            <w:r>
              <w:rPr>
                <w:rFonts w:ascii="Times New Roman" w:cs="Times New Roman" w:eastAsia="Times New Roman" w:hAnsi="Times New Roman"/>
                <w:sz w:val="14"/>
                <w:szCs w:val="14"/>
                <w:color w:val="auto"/>
              </w:rPr>
              <w:t>% of Total</w:t>
            </w: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129"/>
              <w:spacing w:after="0"/>
              <w:rPr>
                <w:sz w:val="20"/>
                <w:szCs w:val="20"/>
                <w:color w:val="auto"/>
              </w:rPr>
            </w:pPr>
            <w:r>
              <w:rPr>
                <w:rFonts w:ascii="Times New Roman" w:cs="Times New Roman" w:eastAsia="Times New Roman" w:hAnsi="Times New Roman"/>
                <w:sz w:val="14"/>
                <w:szCs w:val="14"/>
                <w:color w:val="auto"/>
              </w:rPr>
              <w:t>Amount</w:t>
            </w:r>
          </w:p>
        </w:tc>
        <w:tc>
          <w:tcPr>
            <w:tcW w:w="100" w:type="dxa"/>
            <w:vAlign w:val="bottom"/>
            <w:tcBorders>
              <w:top w:val="single" w:sz="8" w:color="auto"/>
            </w:tcBorders>
            <w:vMerge w:val="restart"/>
          </w:tcPr>
          <w:p>
            <w:pPr>
              <w:spacing w:after="0"/>
              <w:rPr>
                <w:sz w:val="11"/>
                <w:szCs w:val="11"/>
                <w:color w:val="auto"/>
              </w:rPr>
            </w:pPr>
          </w:p>
        </w:tc>
        <w:tc>
          <w:tcPr>
            <w:tcW w:w="1220" w:type="dxa"/>
            <w:vAlign w:val="bottom"/>
            <w:tcBorders>
              <w:top w:val="single" w:sz="8" w:color="auto"/>
            </w:tcBorders>
          </w:tcPr>
          <w:p>
            <w:pPr>
              <w:jc w:val="right"/>
              <w:ind w:right="228"/>
              <w:spacing w:after="0" w:line="133" w:lineRule="exact"/>
              <w:rPr>
                <w:sz w:val="20"/>
                <w:szCs w:val="20"/>
                <w:color w:val="auto"/>
              </w:rPr>
            </w:pPr>
            <w:r>
              <w:rPr>
                <w:rFonts w:ascii="Times New Roman" w:cs="Times New Roman" w:eastAsia="Times New Roman" w:hAnsi="Times New Roman"/>
                <w:sz w:val="14"/>
                <w:szCs w:val="14"/>
                <w:color w:val="auto"/>
              </w:rPr>
              <w:t>% of Total</w:t>
            </w: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109"/>
              <w:spacing w:after="0"/>
              <w:rPr>
                <w:sz w:val="20"/>
                <w:szCs w:val="20"/>
                <w:color w:val="auto"/>
              </w:rPr>
            </w:pPr>
            <w:r>
              <w:rPr>
                <w:rFonts w:ascii="Times New Roman" w:cs="Times New Roman" w:eastAsia="Times New Roman" w:hAnsi="Times New Roman"/>
                <w:sz w:val="14"/>
                <w:szCs w:val="14"/>
                <w:color w:val="auto"/>
              </w:rPr>
              <w:t>Amount</w:t>
            </w:r>
          </w:p>
        </w:tc>
        <w:tc>
          <w:tcPr>
            <w:tcW w:w="100" w:type="dxa"/>
            <w:vAlign w:val="bottom"/>
            <w:tcBorders>
              <w:top w:val="single" w:sz="8" w:color="auto"/>
            </w:tcBorders>
            <w:vMerge w:val="restart"/>
          </w:tcPr>
          <w:p>
            <w:pPr>
              <w:spacing w:after="0"/>
              <w:rPr>
                <w:sz w:val="11"/>
                <w:szCs w:val="11"/>
                <w:color w:val="auto"/>
              </w:rPr>
            </w:pPr>
          </w:p>
        </w:tc>
        <w:tc>
          <w:tcPr>
            <w:tcW w:w="1220" w:type="dxa"/>
            <w:vAlign w:val="bottom"/>
            <w:tcBorders>
              <w:top w:val="single" w:sz="8" w:color="auto"/>
            </w:tcBorders>
          </w:tcPr>
          <w:p>
            <w:pPr>
              <w:jc w:val="right"/>
              <w:ind w:right="228"/>
              <w:spacing w:after="0" w:line="133" w:lineRule="exact"/>
              <w:rPr>
                <w:sz w:val="20"/>
                <w:szCs w:val="20"/>
                <w:color w:val="auto"/>
              </w:rPr>
            </w:pPr>
            <w:r>
              <w:rPr>
                <w:rFonts w:ascii="Times New Roman" w:cs="Times New Roman" w:eastAsia="Times New Roman" w:hAnsi="Times New Roman"/>
                <w:sz w:val="14"/>
                <w:szCs w:val="14"/>
                <w:color w:val="auto"/>
              </w:rPr>
              <w:t>% of Total</w:t>
            </w:r>
          </w:p>
        </w:tc>
        <w:tc>
          <w:tcPr>
            <w:tcW w:w="10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108"/>
              <w:spacing w:after="0"/>
              <w:rPr>
                <w:sz w:val="20"/>
                <w:szCs w:val="20"/>
                <w:color w:val="auto"/>
              </w:rPr>
            </w:pPr>
            <w:r>
              <w:rPr>
                <w:rFonts w:ascii="Times New Roman" w:cs="Times New Roman" w:eastAsia="Times New Roman" w:hAnsi="Times New Roman"/>
                <w:sz w:val="14"/>
                <w:szCs w:val="14"/>
                <w:color w:val="auto"/>
              </w:rPr>
              <w:t>(A) - (B)</w:t>
            </w:r>
          </w:p>
        </w:tc>
        <w:tc>
          <w:tcPr>
            <w:tcW w:w="80" w:type="dxa"/>
            <w:vAlign w:val="bottom"/>
            <w:tcBorders>
              <w:top w:val="single" w:sz="8" w:color="auto"/>
            </w:tcBorders>
            <w:vMerge w:val="restart"/>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vMerge w:val="restart"/>
          </w:tcPr>
          <w:p>
            <w:pPr>
              <w:jc w:val="right"/>
              <w:ind w:right="88"/>
              <w:spacing w:after="0"/>
              <w:rPr>
                <w:sz w:val="20"/>
                <w:szCs w:val="20"/>
                <w:color w:val="auto"/>
              </w:rPr>
            </w:pPr>
            <w:r>
              <w:rPr>
                <w:rFonts w:ascii="Times New Roman" w:cs="Times New Roman" w:eastAsia="Times New Roman" w:hAnsi="Times New Roman"/>
                <w:sz w:val="14"/>
                <w:szCs w:val="14"/>
                <w:color w:val="auto"/>
              </w:rPr>
              <w:t>(A) - (C)</w:t>
            </w:r>
          </w:p>
        </w:tc>
        <w:tc>
          <w:tcPr>
            <w:tcW w:w="0" w:type="dxa"/>
            <w:vAlign w:val="bottom"/>
          </w:tcPr>
          <w:p>
            <w:pPr>
              <w:spacing w:after="0"/>
              <w:rPr>
                <w:sz w:val="1"/>
                <w:szCs w:val="1"/>
                <w:color w:val="auto"/>
              </w:rPr>
            </w:pPr>
          </w:p>
        </w:tc>
      </w:tr>
      <w:tr>
        <w:trPr>
          <w:trHeight w:val="193"/>
        </w:trPr>
        <w:tc>
          <w:tcPr>
            <w:tcW w:w="250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20" w:type="dxa"/>
            <w:vAlign w:val="bottom"/>
            <w:tcBorders>
              <w:bottom w:val="single" w:sz="8" w:color="auto"/>
            </w:tcBorders>
          </w:tcPr>
          <w:p>
            <w:pPr>
              <w:jc w:val="right"/>
              <w:ind w:right="168"/>
              <w:spacing w:after="0"/>
              <w:rPr>
                <w:sz w:val="20"/>
                <w:szCs w:val="20"/>
                <w:color w:val="auto"/>
              </w:rPr>
            </w:pPr>
            <w:r>
              <w:rPr>
                <w:rFonts w:ascii="Times New Roman" w:cs="Times New Roman" w:eastAsia="Times New Roman" w:hAnsi="Times New Roman"/>
                <w:sz w:val="14"/>
                <w:szCs w:val="14"/>
                <w:color w:val="auto"/>
              </w:rPr>
              <w:t>Outstanding</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20" w:type="dxa"/>
            <w:vAlign w:val="bottom"/>
            <w:tcBorders>
              <w:bottom w:val="single" w:sz="8" w:color="auto"/>
            </w:tcBorders>
          </w:tcPr>
          <w:p>
            <w:pPr>
              <w:jc w:val="right"/>
              <w:ind w:right="168"/>
              <w:spacing w:after="0"/>
              <w:rPr>
                <w:sz w:val="20"/>
                <w:szCs w:val="20"/>
                <w:color w:val="auto"/>
              </w:rPr>
            </w:pPr>
            <w:r>
              <w:rPr>
                <w:rFonts w:ascii="Times New Roman" w:cs="Times New Roman" w:eastAsia="Times New Roman" w:hAnsi="Times New Roman"/>
                <w:sz w:val="14"/>
                <w:szCs w:val="14"/>
                <w:color w:val="auto"/>
              </w:rPr>
              <w:t>Outstanding</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20" w:type="dxa"/>
            <w:vAlign w:val="bottom"/>
            <w:tcBorders>
              <w:bottom w:val="single" w:sz="8" w:color="auto"/>
            </w:tcBorders>
          </w:tcPr>
          <w:p>
            <w:pPr>
              <w:jc w:val="right"/>
              <w:ind w:right="168"/>
              <w:spacing w:after="0"/>
              <w:rPr>
                <w:sz w:val="20"/>
                <w:szCs w:val="20"/>
                <w:color w:val="auto"/>
              </w:rPr>
            </w:pPr>
            <w:r>
              <w:rPr>
                <w:rFonts w:ascii="Times New Roman" w:cs="Times New Roman" w:eastAsia="Times New Roman" w:hAnsi="Times New Roman"/>
                <w:sz w:val="14"/>
                <w:szCs w:val="14"/>
                <w:color w:val="auto"/>
              </w:rPr>
              <w:t>Outstanding</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80" w:type="dxa"/>
            <w:vAlign w:val="bottom"/>
            <w:tcBorders>
              <w:bottom w:val="single" w:sz="8" w:color="CCEEFF"/>
            </w:tcBorders>
            <w:vMerge w:val="continue"/>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20" w:type="dxa"/>
            <w:vAlign w:val="bottom"/>
            <w:tcBorders>
              <w:bottom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94"/>
        </w:trPr>
        <w:tc>
          <w:tcPr>
            <w:tcW w:w="26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BRAZIL</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102</w:t>
            </w:r>
          </w:p>
        </w:tc>
        <w:tc>
          <w:tcPr>
            <w:tcW w:w="10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w:t>
            </w:r>
          </w:p>
        </w:tc>
        <w:tc>
          <w:tcPr>
            <w:tcW w:w="100" w:type="dxa"/>
            <w:vAlign w:val="bottom"/>
            <w:tcBorders>
              <w:bottom w:val="single" w:sz="8" w:color="CCEEFF"/>
            </w:tcBorders>
            <w:shd w:val="clear" w:color="auto" w:fill="CCEEFF"/>
          </w:tcPr>
          <w:p>
            <w:pPr>
              <w:spacing w:after="0"/>
              <w:rPr>
                <w:sz w:val="16"/>
                <w:szCs w:val="16"/>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99</w:t>
            </w:r>
          </w:p>
        </w:tc>
        <w:tc>
          <w:tcPr>
            <w:tcW w:w="10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w:t>
            </w:r>
          </w:p>
        </w:tc>
        <w:tc>
          <w:tcPr>
            <w:tcW w:w="100" w:type="dxa"/>
            <w:vAlign w:val="bottom"/>
            <w:tcBorders>
              <w:bottom w:val="single" w:sz="8" w:color="CCEEFF"/>
            </w:tcBorders>
            <w:shd w:val="clear" w:color="auto" w:fill="CCEEFF"/>
          </w:tcPr>
          <w:p>
            <w:pPr>
              <w:spacing w:after="0"/>
              <w:rPr>
                <w:sz w:val="16"/>
                <w:szCs w:val="16"/>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61</w:t>
            </w:r>
          </w:p>
        </w:tc>
        <w:tc>
          <w:tcPr>
            <w:tcW w:w="10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16</w:t>
            </w:r>
          </w:p>
        </w:tc>
        <w:tc>
          <w:tcPr>
            <w:tcW w:w="100" w:type="dxa"/>
            <w:vAlign w:val="bottom"/>
            <w:tcBorders>
              <w:bottom w:val="single" w:sz="8" w:color="CCEEFF"/>
            </w:tcBorders>
            <w:shd w:val="clear" w:color="auto" w:fill="CCEEFF"/>
          </w:tcPr>
          <w:p>
            <w:pPr>
              <w:spacing w:after="0"/>
              <w:rPr>
                <w:sz w:val="16"/>
                <w:szCs w:val="16"/>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80" w:type="dxa"/>
            <w:vAlign w:val="bottom"/>
            <w:tcBorders>
              <w:bottom w:val="single" w:sz="8" w:color="CCEEFF"/>
            </w:tcBorders>
            <w:shd w:val="clear" w:color="auto" w:fill="CCEEFF"/>
          </w:tcPr>
          <w:p>
            <w:pPr>
              <w:spacing w:after="0"/>
              <w:rPr>
                <w:sz w:val="16"/>
                <w:szCs w:val="16"/>
                <w:color w:val="auto"/>
              </w:rPr>
            </w:pPr>
          </w:p>
        </w:tc>
        <w:tc>
          <w:tcPr>
            <w:tcW w:w="1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41</w:t>
            </w:r>
          </w:p>
        </w:tc>
        <w:tc>
          <w:tcPr>
            <w:tcW w:w="0" w:type="dxa"/>
            <w:vAlign w:val="bottom"/>
          </w:tcPr>
          <w:p>
            <w:pPr>
              <w:spacing w:after="0"/>
              <w:rPr>
                <w:sz w:val="1"/>
                <w:szCs w:val="1"/>
                <w:color w:val="auto"/>
              </w:rPr>
            </w:pPr>
          </w:p>
        </w:tc>
      </w:tr>
      <w:tr>
        <w:trPr>
          <w:trHeight w:val="193"/>
        </w:trPr>
        <w:tc>
          <w:tcPr>
            <w:tcW w:w="26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CHILE</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106</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41</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69</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COLOMBIA</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38</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30</w:t>
            </w:r>
          </w:p>
        </w:tc>
        <w:tc>
          <w:tcPr>
            <w:tcW w:w="0" w:type="dxa"/>
            <w:vAlign w:val="bottom"/>
          </w:tcPr>
          <w:p>
            <w:pPr>
              <w:spacing w:after="0"/>
              <w:rPr>
                <w:sz w:val="1"/>
                <w:szCs w:val="1"/>
                <w:color w:val="auto"/>
              </w:rPr>
            </w:pPr>
          </w:p>
        </w:tc>
      </w:tr>
      <w:tr>
        <w:trPr>
          <w:trHeight w:val="193"/>
        </w:trPr>
        <w:tc>
          <w:tcPr>
            <w:tcW w:w="26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COSTA RICA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DOMINICAN REPUBLIC</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0" w:type="dxa"/>
            <w:vAlign w:val="bottom"/>
          </w:tcPr>
          <w:p>
            <w:pPr>
              <w:spacing w:after="0"/>
              <w:rPr>
                <w:sz w:val="1"/>
                <w:szCs w:val="1"/>
                <w:color w:val="auto"/>
              </w:rPr>
            </w:pPr>
          </w:p>
        </w:tc>
      </w:tr>
      <w:tr>
        <w:trPr>
          <w:trHeight w:val="193"/>
        </w:trPr>
        <w:tc>
          <w:tcPr>
            <w:tcW w:w="26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GUATEMALA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MEXICO</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97</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56</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44</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41</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53</w:t>
            </w:r>
          </w:p>
        </w:tc>
        <w:tc>
          <w:tcPr>
            <w:tcW w:w="0" w:type="dxa"/>
            <w:vAlign w:val="bottom"/>
          </w:tcPr>
          <w:p>
            <w:pPr>
              <w:spacing w:after="0"/>
              <w:rPr>
                <w:sz w:val="1"/>
                <w:szCs w:val="1"/>
                <w:color w:val="auto"/>
              </w:rPr>
            </w:pPr>
          </w:p>
        </w:tc>
      </w:tr>
      <w:tr>
        <w:trPr>
          <w:trHeight w:val="193"/>
        </w:trPr>
        <w:tc>
          <w:tcPr>
            <w:tcW w:w="26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PANAMA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23</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PERU</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87</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64</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70</w:t>
            </w:r>
          </w:p>
        </w:tc>
        <w:tc>
          <w:tcPr>
            <w:tcW w:w="0" w:type="dxa"/>
            <w:vAlign w:val="bottom"/>
          </w:tcPr>
          <w:p>
            <w:pPr>
              <w:spacing w:after="0"/>
              <w:rPr>
                <w:sz w:val="1"/>
                <w:szCs w:val="1"/>
                <w:color w:val="auto"/>
              </w:rPr>
            </w:pPr>
          </w:p>
        </w:tc>
      </w:tr>
      <w:tr>
        <w:trPr>
          <w:trHeight w:val="193"/>
        </w:trPr>
        <w:tc>
          <w:tcPr>
            <w:tcW w:w="26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UNITED STATES OF AMERICA</w:t>
            </w: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501</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46</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295</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36</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112</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206</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389</w:t>
            </w:r>
          </w:p>
        </w:tc>
        <w:tc>
          <w:tcPr>
            <w:tcW w:w="0" w:type="dxa"/>
            <w:vAlign w:val="bottom"/>
          </w:tcPr>
          <w:p>
            <w:pPr>
              <w:spacing w:after="0"/>
              <w:rPr>
                <w:sz w:val="1"/>
                <w:szCs w:val="1"/>
                <w:color w:val="auto"/>
              </w:rPr>
            </w:pPr>
          </w:p>
        </w:tc>
      </w:tr>
      <w:tr>
        <w:trPr>
          <w:trHeight w:val="23"/>
        </w:trPr>
        <w:tc>
          <w:tcPr>
            <w:tcW w:w="25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Pr>
          <w:p>
            <w:pPr>
              <w:spacing w:after="0"/>
              <w:rPr>
                <w:sz w:val="2"/>
                <w:szCs w:val="2"/>
                <w:color w:val="auto"/>
              </w:rPr>
            </w:pPr>
          </w:p>
        </w:tc>
        <w:tc>
          <w:tcPr>
            <w:tcW w:w="7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6"/>
        </w:trPr>
        <w:tc>
          <w:tcPr>
            <w:tcW w:w="26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MULTILATERAL ORGANIZATIONS</w:t>
            </w: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84</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105</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89</w:t>
            </w:r>
          </w:p>
        </w:tc>
        <w:tc>
          <w:tcPr>
            <w:tcW w:w="10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w:t>
            </w:r>
          </w:p>
        </w:tc>
        <w:tc>
          <w:tcPr>
            <w:tcW w:w="10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CCEEFF"/>
            </w:tcBorders>
            <w:shd w:val="clear" w:color="auto" w:fill="CCEEFF"/>
          </w:tcPr>
          <w:p>
            <w:pPr>
              <w:spacing w:after="0"/>
              <w:rPr>
                <w:sz w:val="17"/>
                <w:szCs w:val="17"/>
                <w:color w:val="auto"/>
              </w:rPr>
            </w:pPr>
          </w:p>
        </w:tc>
        <w:tc>
          <w:tcPr>
            <w:tcW w:w="7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w:t>
            </w:r>
          </w:p>
        </w:tc>
        <w:tc>
          <w:tcPr>
            <w:tcW w:w="0" w:type="dxa"/>
            <w:vAlign w:val="bottom"/>
          </w:tcPr>
          <w:p>
            <w:pPr>
              <w:spacing w:after="0"/>
              <w:rPr>
                <w:sz w:val="1"/>
                <w:szCs w:val="1"/>
                <w:color w:val="auto"/>
              </w:rPr>
            </w:pPr>
          </w:p>
        </w:tc>
      </w:tr>
      <w:tr>
        <w:trPr>
          <w:trHeight w:val="220"/>
        </w:trPr>
        <w:tc>
          <w:tcPr>
            <w:tcW w:w="26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OTHER NON-LATAM </w:t>
            </w:r>
            <w:r>
              <w:rPr>
                <w:rFonts w:ascii="Times New Roman" w:cs="Times New Roman" w:eastAsia="Times New Roman" w:hAnsi="Times New Roman"/>
                <w:sz w:val="9"/>
                <w:szCs w:val="9"/>
                <w:color w:val="auto"/>
              </w:rPr>
              <w:t>(1)</w:t>
            </w: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29</w:t>
            </w:r>
          </w:p>
        </w:tc>
        <w:tc>
          <w:tcPr>
            <w:tcW w:w="0" w:type="dxa"/>
            <w:vAlign w:val="bottom"/>
          </w:tcPr>
          <w:p>
            <w:pPr>
              <w:spacing w:after="0"/>
              <w:rPr>
                <w:sz w:val="1"/>
                <w:szCs w:val="1"/>
                <w:color w:val="auto"/>
              </w:rPr>
            </w:pPr>
          </w:p>
        </w:tc>
      </w:tr>
      <w:tr>
        <w:trPr>
          <w:trHeight w:val="23"/>
        </w:trPr>
        <w:tc>
          <w:tcPr>
            <w:tcW w:w="250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7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9"/>
        </w:trPr>
        <w:tc>
          <w:tcPr>
            <w:tcW w:w="2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26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 xml:space="preserve">TOTAL INVESTMENT PORTFOLIO </w:t>
            </w:r>
            <w:r>
              <w:rPr>
                <w:rFonts w:ascii="Times New Roman" w:cs="Times New Roman" w:eastAsia="Times New Roman" w:hAnsi="Times New Roman"/>
                <w:sz w:val="9"/>
                <w:szCs w:val="9"/>
                <w:color w:val="auto"/>
              </w:rPr>
              <w:t>(2)</w:t>
            </w: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1,091</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100 %</w:t>
            </w:r>
          </w:p>
        </w:tc>
        <w:tc>
          <w:tcPr>
            <w:tcW w:w="10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825</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100 %</w:t>
            </w:r>
          </w:p>
        </w:tc>
        <w:tc>
          <w:tcPr>
            <w:tcW w:w="10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389</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100 %</w:t>
            </w:r>
          </w:p>
        </w:tc>
        <w:tc>
          <w:tcPr>
            <w:tcW w:w="10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266</w:t>
            </w:r>
          </w:p>
        </w:tc>
        <w:tc>
          <w:tcPr>
            <w:tcW w:w="80" w:type="dxa"/>
            <w:vAlign w:val="bottom"/>
          </w:tcPr>
          <w:p>
            <w:pPr>
              <w:spacing w:after="0"/>
              <w:rPr>
                <w:sz w:val="16"/>
                <w:szCs w:val="16"/>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702</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126365</wp:posOffset>
            </wp:positionV>
            <wp:extent cx="216027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2160270" cy="8890"/>
                    </a:xfrm>
                    <a:prstGeom prst="rect">
                      <a:avLst/>
                    </a:prstGeom>
                    <a:noFill/>
                  </pic:spPr>
                </pic:pic>
              </a:graphicData>
            </a:graphic>
          </wp:anchor>
        </w:drawing>
      </w:r>
    </w:p>
    <w:p>
      <w:pPr>
        <w:spacing w:after="0" w:line="282" w:lineRule="exact"/>
        <w:rPr>
          <w:sz w:val="20"/>
          <w:szCs w:val="20"/>
          <w:color w:val="auto"/>
        </w:rPr>
      </w:pPr>
    </w:p>
    <w:p>
      <w:pPr>
        <w:ind w:left="320" w:hanging="312"/>
        <w:spacing w:after="0"/>
        <w:tabs>
          <w:tab w:leader="none" w:pos="32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Risk in highly rated countries outside the Region</w:t>
      </w:r>
    </w:p>
    <w:p>
      <w:pPr>
        <w:spacing w:after="0" w:line="15" w:lineRule="exact"/>
        <w:rPr>
          <w:rFonts w:ascii="Times New Roman" w:cs="Times New Roman" w:eastAsia="Times New Roman" w:hAnsi="Times New Roman"/>
          <w:sz w:val="18"/>
          <w:szCs w:val="18"/>
          <w:color w:val="auto"/>
        </w:rPr>
      </w:pPr>
    </w:p>
    <w:p>
      <w:pPr>
        <w:ind w:left="320" w:hanging="312"/>
        <w:spacing w:after="0"/>
        <w:tabs>
          <w:tab w:leader="none" w:pos="32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Includes securities at FVOCI and at amortized cost, gross of interest receivable and the allowance for losses.</w:t>
      </w:r>
    </w:p>
    <w:p>
      <w:pPr>
        <w:spacing w:after="0" w:line="200" w:lineRule="exact"/>
        <w:rPr>
          <w:sz w:val="20"/>
          <w:szCs w:val="20"/>
          <w:color w:val="auto"/>
        </w:rPr>
      </w:pPr>
    </w:p>
    <w:p>
      <w:pPr>
        <w:spacing w:after="0" w:line="275"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380" w:type="dxa"/>
            <w:vAlign w:val="bottom"/>
          </w:tcPr>
          <w:p>
            <w:pPr>
              <w:spacing w:after="0"/>
              <w:rPr>
                <w:sz w:val="20"/>
                <w:szCs w:val="20"/>
                <w:color w:val="auto"/>
              </w:rPr>
            </w:pPr>
          </w:p>
        </w:tc>
        <w:tc>
          <w:tcPr>
            <w:tcW w:w="3540" w:type="dxa"/>
            <w:vAlign w:val="bottom"/>
            <w:gridSpan w:val="3"/>
            <w:vMerge w:val="restart"/>
          </w:tcPr>
          <w:p>
            <w:pPr>
              <w:jc w:val="center"/>
              <w:ind w:left="870"/>
              <w:spacing w:after="0"/>
              <w:rPr>
                <w:sz w:val="20"/>
                <w:szCs w:val="20"/>
                <w:color w:val="auto"/>
              </w:rPr>
            </w:pPr>
            <w:r>
              <w:rPr>
                <w:rFonts w:ascii="Times New Roman" w:cs="Times New Roman" w:eastAsia="Times New Roman" w:hAnsi="Times New Roman"/>
                <w:sz w:val="18"/>
                <w:szCs w:val="18"/>
                <w:color w:val="auto"/>
                <w:w w:val="99"/>
              </w:rPr>
              <w:t>LOAN DISBURSEMENTS</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w w:val="98"/>
              </w:rPr>
              <w:t>EXHIBIT IX</w:t>
            </w:r>
          </w:p>
        </w:tc>
        <w:tc>
          <w:tcPr>
            <w:tcW w:w="0" w:type="dxa"/>
            <w:vAlign w:val="bottom"/>
          </w:tcPr>
          <w:p>
            <w:pPr>
              <w:spacing w:after="0"/>
              <w:rPr>
                <w:sz w:val="1"/>
                <w:szCs w:val="1"/>
                <w:color w:val="auto"/>
              </w:rPr>
            </w:pPr>
          </w:p>
        </w:tc>
      </w:tr>
      <w:tr>
        <w:trPr>
          <w:trHeight w:val="184"/>
        </w:trPr>
        <w:tc>
          <w:tcPr>
            <w:tcW w:w="3380" w:type="dxa"/>
            <w:vAlign w:val="bottom"/>
          </w:tcPr>
          <w:p>
            <w:pPr>
              <w:spacing w:after="0"/>
              <w:rPr>
                <w:sz w:val="16"/>
                <w:szCs w:val="16"/>
                <w:color w:val="auto"/>
              </w:rPr>
            </w:pPr>
          </w:p>
        </w:tc>
        <w:tc>
          <w:tcPr>
            <w:tcW w:w="3540" w:type="dxa"/>
            <w:vAlign w:val="bottom"/>
            <w:gridSpan w:val="3"/>
            <w:vMerge w:val="continue"/>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3380" w:type="dxa"/>
            <w:vAlign w:val="bottom"/>
          </w:tcPr>
          <w:p>
            <w:pPr>
              <w:spacing w:after="0"/>
              <w:rPr>
                <w:sz w:val="17"/>
                <w:szCs w:val="17"/>
                <w:color w:val="auto"/>
              </w:rPr>
            </w:pPr>
          </w:p>
        </w:tc>
        <w:tc>
          <w:tcPr>
            <w:tcW w:w="3540" w:type="dxa"/>
            <w:vAlign w:val="bottom"/>
            <w:gridSpan w:val="3"/>
          </w:tcPr>
          <w:p>
            <w:pPr>
              <w:jc w:val="center"/>
              <w:ind w:left="870"/>
              <w:spacing w:after="0" w:line="202" w:lineRule="exact"/>
              <w:rPr>
                <w:sz w:val="20"/>
                <w:szCs w:val="20"/>
                <w:color w:val="auto"/>
              </w:rPr>
            </w:pPr>
            <w:r>
              <w:rPr>
                <w:rFonts w:ascii="Times New Roman" w:cs="Times New Roman" w:eastAsia="Times New Roman" w:hAnsi="Times New Roman"/>
                <w:sz w:val="18"/>
                <w:szCs w:val="18"/>
                <w:color w:val="auto"/>
                <w:w w:val="99"/>
              </w:rPr>
              <w:t>DISTRIBUTION BY COUNTRY</w:t>
            </w: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380" w:type="dxa"/>
            <w:vAlign w:val="bottom"/>
          </w:tcPr>
          <w:p>
            <w:pPr>
              <w:spacing w:after="0"/>
              <w:rPr>
                <w:sz w:val="20"/>
                <w:szCs w:val="20"/>
                <w:color w:val="auto"/>
              </w:rPr>
            </w:pPr>
          </w:p>
        </w:tc>
        <w:tc>
          <w:tcPr>
            <w:tcW w:w="2840" w:type="dxa"/>
            <w:vAlign w:val="bottom"/>
            <w:gridSpan w:val="2"/>
          </w:tcPr>
          <w:p>
            <w:pPr>
              <w:jc w:val="center"/>
              <w:ind w:left="1550"/>
              <w:spacing w:after="0"/>
              <w:rPr>
                <w:sz w:val="20"/>
                <w:szCs w:val="20"/>
                <w:color w:val="auto"/>
              </w:rPr>
            </w:pPr>
            <w:r>
              <w:rPr>
                <w:rFonts w:ascii="Times New Roman" w:cs="Times New Roman" w:eastAsia="Times New Roman" w:hAnsi="Times New Roman"/>
                <w:sz w:val="18"/>
                <w:szCs w:val="18"/>
                <w:color w:val="auto"/>
                <w:w w:val="99"/>
              </w:rPr>
              <w:t>(In US$ million)</w:t>
            </w:r>
          </w:p>
        </w:tc>
        <w:tc>
          <w:tcPr>
            <w:tcW w:w="7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63"/>
        </w:trPr>
        <w:tc>
          <w:tcPr>
            <w:tcW w:w="3380" w:type="dxa"/>
            <w:vAlign w:val="bottom"/>
          </w:tcPr>
          <w:p>
            <w:pPr>
              <w:spacing w:after="0"/>
              <w:rPr>
                <w:sz w:val="22"/>
                <w:szCs w:val="22"/>
                <w:color w:val="auto"/>
              </w:rPr>
            </w:pPr>
          </w:p>
        </w:tc>
        <w:tc>
          <w:tcPr>
            <w:tcW w:w="2560" w:type="dxa"/>
            <w:vAlign w:val="bottom"/>
          </w:tcPr>
          <w:p>
            <w:pPr>
              <w:spacing w:after="0"/>
              <w:rPr>
                <w:sz w:val="22"/>
                <w:szCs w:val="22"/>
                <w:color w:val="auto"/>
              </w:rPr>
            </w:pPr>
          </w:p>
        </w:tc>
        <w:tc>
          <w:tcPr>
            <w:tcW w:w="280" w:type="dxa"/>
            <w:vAlign w:val="bottom"/>
            <w:tcBorders>
              <w:bottom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1180" w:type="dxa"/>
            <w:vAlign w:val="bottom"/>
            <w:tcBorders>
              <w:bottom w:val="single" w:sz="8" w:color="auto"/>
            </w:tcBorders>
            <w:gridSpan w:val="4"/>
          </w:tcPr>
          <w:p>
            <w:pPr>
              <w:jc w:val="center"/>
              <w:spacing w:after="0"/>
              <w:rPr>
                <w:sz w:val="20"/>
                <w:szCs w:val="20"/>
                <w:color w:val="auto"/>
              </w:rPr>
            </w:pPr>
            <w:r>
              <w:rPr>
                <w:rFonts w:ascii="Times New Roman" w:cs="Times New Roman" w:eastAsia="Times New Roman" w:hAnsi="Times New Roman"/>
                <w:sz w:val="18"/>
                <w:szCs w:val="18"/>
                <w:color w:val="auto"/>
                <w:w w:val="97"/>
              </w:rPr>
              <w:t>QUARTERLY</w:t>
            </w:r>
          </w:p>
        </w:tc>
        <w:tc>
          <w:tcPr>
            <w:tcW w:w="20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1920" w:type="dxa"/>
            <w:vAlign w:val="bottom"/>
            <w:tcBorders>
              <w:bottom w:val="single" w:sz="8" w:color="auto"/>
            </w:tcBorders>
            <w:gridSpan w:val="4"/>
          </w:tcPr>
          <w:p>
            <w:pPr>
              <w:jc w:val="right"/>
              <w:ind w:right="310"/>
              <w:spacing w:after="0"/>
              <w:rPr>
                <w:sz w:val="20"/>
                <w:szCs w:val="20"/>
                <w:color w:val="auto"/>
              </w:rPr>
            </w:pPr>
            <w:r>
              <w:rPr>
                <w:rFonts w:ascii="Times New Roman" w:cs="Times New Roman" w:eastAsia="Times New Roman" w:hAnsi="Times New Roman"/>
                <w:sz w:val="18"/>
                <w:szCs w:val="18"/>
                <w:color w:val="auto"/>
              </w:rPr>
              <w:t>Change in Amount</w:t>
            </w:r>
          </w:p>
        </w:tc>
        <w:tc>
          <w:tcPr>
            <w:tcW w:w="0" w:type="dxa"/>
            <w:vAlign w:val="bottom"/>
          </w:tcPr>
          <w:p>
            <w:pPr>
              <w:spacing w:after="0"/>
              <w:rPr>
                <w:sz w:val="1"/>
                <w:szCs w:val="1"/>
                <w:color w:val="auto"/>
              </w:rPr>
            </w:pPr>
          </w:p>
        </w:tc>
      </w:tr>
      <w:tr>
        <w:trPr>
          <w:trHeight w:val="243"/>
        </w:trPr>
        <w:tc>
          <w:tcPr>
            <w:tcW w:w="3380" w:type="dxa"/>
            <w:vAlign w:val="bottom"/>
          </w:tcPr>
          <w:p>
            <w:pPr>
              <w:spacing w:after="0"/>
              <w:rPr>
                <w:sz w:val="21"/>
                <w:szCs w:val="21"/>
                <w:color w:val="auto"/>
              </w:rPr>
            </w:pP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ind w:right="270"/>
              <w:spacing w:after="0"/>
              <w:rPr>
                <w:sz w:val="20"/>
                <w:szCs w:val="20"/>
                <w:color w:val="auto"/>
              </w:rPr>
            </w:pPr>
            <w:r>
              <w:rPr>
                <w:rFonts w:ascii="Times New Roman" w:cs="Times New Roman" w:eastAsia="Times New Roman" w:hAnsi="Times New Roman"/>
                <w:sz w:val="18"/>
                <w:szCs w:val="18"/>
                <w:color w:val="auto"/>
              </w:rPr>
              <w:t>(A)</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88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color w:val="auto"/>
                <w:w w:val="99"/>
              </w:rPr>
              <w:t>(B)</w:t>
            </w:r>
          </w:p>
        </w:tc>
        <w:tc>
          <w:tcPr>
            <w:tcW w:w="200" w:type="dxa"/>
            <w:vAlign w:val="bottom"/>
          </w:tcPr>
          <w:p>
            <w:pPr>
              <w:spacing w:after="0"/>
              <w:rPr>
                <w:sz w:val="21"/>
                <w:szCs w:val="21"/>
                <w:color w:val="auto"/>
              </w:rPr>
            </w:pPr>
          </w:p>
        </w:tc>
        <w:tc>
          <w:tcPr>
            <w:tcW w:w="88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(C)</w:t>
            </w:r>
          </w:p>
        </w:tc>
        <w:tc>
          <w:tcPr>
            <w:tcW w:w="14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63"/>
        </w:trPr>
        <w:tc>
          <w:tcPr>
            <w:tcW w:w="338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COUNTRY</w:t>
            </w:r>
          </w:p>
        </w:tc>
        <w:tc>
          <w:tcPr>
            <w:tcW w:w="2560" w:type="dxa"/>
            <w:vAlign w:val="bottom"/>
            <w:tcBorders>
              <w:bottom w:val="single" w:sz="8" w:color="auto"/>
            </w:tcBorders>
          </w:tcPr>
          <w:p>
            <w:pPr>
              <w:spacing w:after="0"/>
              <w:rPr>
                <w:sz w:val="22"/>
                <w:szCs w:val="22"/>
                <w:color w:val="auto"/>
              </w:rPr>
            </w:pPr>
          </w:p>
        </w:tc>
        <w:tc>
          <w:tcPr>
            <w:tcW w:w="280" w:type="dxa"/>
            <w:vAlign w:val="bottom"/>
            <w:tcBorders>
              <w:bottom w:val="single" w:sz="8" w:color="auto"/>
            </w:tcBorders>
          </w:tcPr>
          <w:p>
            <w:pPr>
              <w:spacing w:after="0"/>
              <w:rPr>
                <w:sz w:val="22"/>
                <w:szCs w:val="22"/>
                <w:color w:val="auto"/>
              </w:rPr>
            </w:pPr>
          </w:p>
        </w:tc>
        <w:tc>
          <w:tcPr>
            <w:tcW w:w="70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color w:val="auto"/>
                <w:w w:val="94"/>
              </w:rPr>
              <w:t>1Q22</w:t>
            </w:r>
          </w:p>
        </w:tc>
        <w:tc>
          <w:tcPr>
            <w:tcW w:w="10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jc w:val="center"/>
              <w:ind w:right="130"/>
              <w:spacing w:after="0"/>
              <w:rPr>
                <w:sz w:val="20"/>
                <w:szCs w:val="20"/>
                <w:color w:val="auto"/>
              </w:rPr>
            </w:pPr>
            <w:r>
              <w:rPr>
                <w:rFonts w:ascii="Times New Roman" w:cs="Times New Roman" w:eastAsia="Times New Roman" w:hAnsi="Times New Roman"/>
                <w:sz w:val="18"/>
                <w:szCs w:val="18"/>
                <w:color w:val="auto"/>
                <w:w w:val="99"/>
              </w:rPr>
              <w:t>4Q21</w:t>
            </w:r>
          </w:p>
        </w:tc>
        <w:tc>
          <w:tcPr>
            <w:tcW w:w="10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jc w:val="right"/>
              <w:ind w:right="210"/>
              <w:spacing w:after="0"/>
              <w:rPr>
                <w:sz w:val="20"/>
                <w:szCs w:val="20"/>
                <w:color w:val="auto"/>
              </w:rPr>
            </w:pPr>
            <w:r>
              <w:rPr>
                <w:rFonts w:ascii="Times New Roman" w:cs="Times New Roman" w:eastAsia="Times New Roman" w:hAnsi="Times New Roman"/>
                <w:sz w:val="18"/>
                <w:szCs w:val="18"/>
                <w:color w:val="auto"/>
              </w:rPr>
              <w:t>1Q21</w:t>
            </w:r>
          </w:p>
        </w:tc>
        <w:tc>
          <w:tcPr>
            <w:tcW w:w="100" w:type="dxa"/>
            <w:vAlign w:val="bottom"/>
            <w:tcBorders>
              <w:bottom w:val="single" w:sz="8" w:color="CCEEFF"/>
            </w:tcBorders>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84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8"/>
                <w:szCs w:val="18"/>
                <w:color w:val="auto"/>
                <w:w w:val="99"/>
              </w:rPr>
              <w:t>(A) - (B)</w:t>
            </w:r>
          </w:p>
        </w:tc>
        <w:tc>
          <w:tcPr>
            <w:tcW w:w="100" w:type="dxa"/>
            <w:vAlign w:val="bottom"/>
            <w:tcBorders>
              <w:bottom w:val="single" w:sz="8" w:color="CCEEFF"/>
            </w:tcBorders>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84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8"/>
                <w:szCs w:val="18"/>
                <w:color w:val="auto"/>
                <w:w w:val="99"/>
              </w:rPr>
              <w:t>(A) - (C)</w:t>
            </w:r>
          </w:p>
        </w:tc>
        <w:tc>
          <w:tcPr>
            <w:tcW w:w="0" w:type="dxa"/>
            <w:vAlign w:val="bottom"/>
          </w:tcPr>
          <w:p>
            <w:pPr>
              <w:spacing w:after="0"/>
              <w:rPr>
                <w:sz w:val="1"/>
                <w:szCs w:val="1"/>
                <w:color w:val="auto"/>
              </w:rPr>
            </w:pPr>
          </w:p>
        </w:tc>
      </w:tr>
      <w:tr>
        <w:trPr>
          <w:trHeight w:val="256"/>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ARGENTINA</w:t>
            </w:r>
          </w:p>
        </w:tc>
        <w:tc>
          <w:tcPr>
            <w:tcW w:w="28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BOLIVIA</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BRAZIL</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464</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630</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287</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(166)</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177</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CHILE</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332</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289</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347</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COLOMBIA</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284</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532</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(248)</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COSTA RICA</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159</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97</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136</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DOMINICAN REPUBLIC</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157</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321</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183</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(164)</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ECUADOR</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EL SALVADOR</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GUATEMALA</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169</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187</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99</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70</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HONDURAS</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222</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192</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212</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JAMAICA</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198</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63</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158</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135</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MEXICO</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567</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909</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508</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(342)</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59</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PANAMA</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64</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106</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89</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47</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PARAGUAY</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PERU</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189</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260</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106</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(71)</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83</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TRINIDAD &amp; TOBAGO</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50"/>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UNITED STATES</w:t>
            </w:r>
          </w:p>
        </w:tc>
        <w:tc>
          <w:tcPr>
            <w:tcW w:w="25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w:t>
            </w: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w:t>
            </w: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0" w:type="dxa"/>
            <w:vAlign w:val="bottom"/>
          </w:tcPr>
          <w:p>
            <w:pPr>
              <w:spacing w:after="0"/>
              <w:rPr>
                <w:sz w:val="1"/>
                <w:szCs w:val="1"/>
                <w:color w:val="auto"/>
              </w:rPr>
            </w:pPr>
          </w:p>
        </w:tc>
      </w:tr>
      <w:tr>
        <w:trPr>
          <w:trHeight w:val="263"/>
        </w:trPr>
        <w:tc>
          <w:tcPr>
            <w:tcW w:w="33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URUGUAY</w:t>
            </w:r>
          </w:p>
        </w:tc>
        <w:tc>
          <w:tcPr>
            <w:tcW w:w="25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197</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86</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w:t>
            </w:r>
          </w:p>
        </w:tc>
        <w:tc>
          <w:tcPr>
            <w:tcW w:w="0" w:type="dxa"/>
            <w:vAlign w:val="bottom"/>
          </w:tcPr>
          <w:p>
            <w:pPr>
              <w:spacing w:after="0"/>
              <w:rPr>
                <w:sz w:val="1"/>
                <w:szCs w:val="1"/>
                <w:color w:val="auto"/>
              </w:rPr>
            </w:pPr>
          </w:p>
        </w:tc>
      </w:tr>
      <w:tr>
        <w:trPr>
          <w:trHeight w:val="283"/>
        </w:trPr>
        <w:tc>
          <w:tcPr>
            <w:tcW w:w="33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 xml:space="preserve">OTHER NON-LATAM </w:t>
            </w:r>
            <w:r>
              <w:rPr>
                <w:rFonts w:ascii="Times New Roman" w:cs="Times New Roman" w:eastAsia="Times New Roman" w:hAnsi="Times New Roman"/>
                <w:sz w:val="23"/>
                <w:szCs w:val="23"/>
                <w:color w:val="auto"/>
                <w:vertAlign w:val="superscript"/>
              </w:rPr>
              <w:t>(1)</w:t>
            </w:r>
          </w:p>
        </w:tc>
        <w:tc>
          <w:tcPr>
            <w:tcW w:w="2560" w:type="dxa"/>
            <w:vAlign w:val="bottom"/>
            <w:tcBorders>
              <w:bottom w:val="single" w:sz="8" w:color="CCEEFF"/>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100" w:type="dxa"/>
            <w:vAlign w:val="bottom"/>
            <w:tcBorders>
              <w:bottom w:val="single" w:sz="8" w:color="CCEEFF"/>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272</w:t>
            </w:r>
          </w:p>
        </w:tc>
        <w:tc>
          <w:tcPr>
            <w:tcW w:w="100" w:type="dxa"/>
            <w:vAlign w:val="bottom"/>
            <w:tcBorders>
              <w:bottom w:val="single" w:sz="8" w:color="CCEEFF"/>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131</w:t>
            </w:r>
          </w:p>
        </w:tc>
        <w:tc>
          <w:tcPr>
            <w:tcW w:w="100" w:type="dxa"/>
            <w:vAlign w:val="bottom"/>
            <w:tcBorders>
              <w:bottom w:val="single" w:sz="8" w:color="CCEEFF"/>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(81)</w:t>
            </w:r>
          </w:p>
        </w:tc>
        <w:tc>
          <w:tcPr>
            <w:tcW w:w="100" w:type="dxa"/>
            <w:vAlign w:val="bottom"/>
            <w:tcBorders>
              <w:bottom w:val="single" w:sz="8" w:color="CCEEFF"/>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60</w:t>
            </w:r>
          </w:p>
        </w:tc>
        <w:tc>
          <w:tcPr>
            <w:tcW w:w="0" w:type="dxa"/>
            <w:vAlign w:val="bottom"/>
          </w:tcPr>
          <w:p>
            <w:pPr>
              <w:spacing w:after="0"/>
              <w:rPr>
                <w:sz w:val="1"/>
                <w:szCs w:val="1"/>
                <w:color w:val="auto"/>
              </w:rPr>
            </w:pPr>
          </w:p>
        </w:tc>
      </w:tr>
      <w:tr>
        <w:trPr>
          <w:trHeight w:val="250"/>
        </w:trPr>
        <w:tc>
          <w:tcPr>
            <w:tcW w:w="3380" w:type="dxa"/>
            <w:vAlign w:val="bottom"/>
            <w:shd w:val="clear" w:color="auto" w:fill="CCEEFF"/>
          </w:tcPr>
          <w:p>
            <w:pPr>
              <w:spacing w:after="0"/>
              <w:rPr>
                <w:sz w:val="21"/>
                <w:szCs w:val="21"/>
                <w:color w:val="auto"/>
              </w:rPr>
            </w:pPr>
          </w:p>
        </w:tc>
        <w:tc>
          <w:tcPr>
            <w:tcW w:w="2560" w:type="dxa"/>
            <w:vAlign w:val="bottom"/>
            <w:shd w:val="clear" w:color="auto" w:fill="CCEEFF"/>
          </w:tcPr>
          <w:p>
            <w:pPr>
              <w:spacing w:after="0"/>
              <w:rPr>
                <w:sz w:val="21"/>
                <w:szCs w:val="21"/>
                <w:color w:val="auto"/>
              </w:rPr>
            </w:pPr>
          </w:p>
        </w:tc>
        <w:tc>
          <w:tcPr>
            <w:tcW w:w="280" w:type="dxa"/>
            <w:vAlign w:val="bottom"/>
            <w:shd w:val="clear" w:color="auto" w:fill="CCEEFF"/>
          </w:tcPr>
          <w:p>
            <w:pPr>
              <w:spacing w:after="0"/>
              <w:rPr>
                <w:sz w:val="21"/>
                <w:szCs w:val="21"/>
                <w:color w:val="auto"/>
              </w:rPr>
            </w:pPr>
          </w:p>
        </w:tc>
        <w:tc>
          <w:tcPr>
            <w:tcW w:w="7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7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7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8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8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325"/>
        </w:trPr>
        <w:tc>
          <w:tcPr>
            <w:tcW w:w="33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 xml:space="preserve">TOTAL LOAN DISBURSED </w:t>
            </w:r>
            <w:r>
              <w:rPr>
                <w:rFonts w:ascii="Times New Roman" w:cs="Times New Roman" w:eastAsia="Times New Roman" w:hAnsi="Times New Roman"/>
                <w:sz w:val="23"/>
                <w:szCs w:val="23"/>
                <w:color w:val="auto"/>
                <w:vertAlign w:val="superscript"/>
              </w:rPr>
              <w:t>(2)</w:t>
            </w:r>
          </w:p>
        </w:tc>
        <w:tc>
          <w:tcPr>
            <w:tcW w:w="28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3,461</w:t>
            </w:r>
          </w:p>
        </w:tc>
        <w:tc>
          <w:tcPr>
            <w:tcW w:w="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3,953</w:t>
            </w:r>
          </w:p>
        </w:tc>
        <w:tc>
          <w:tcPr>
            <w:tcW w:w="100" w:type="dxa"/>
            <w:vAlign w:val="bottom"/>
          </w:tcPr>
          <w:p>
            <w:pPr>
              <w:spacing w:after="0"/>
              <w:rPr>
                <w:sz w:val="24"/>
                <w:szCs w:val="24"/>
                <w:color w:val="auto"/>
              </w:rPr>
            </w:pP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2,392</w:t>
            </w:r>
          </w:p>
        </w:tc>
        <w:tc>
          <w:tcPr>
            <w:tcW w:w="100" w:type="dxa"/>
            <w:vAlign w:val="bottom"/>
          </w:tcPr>
          <w:p>
            <w:pPr>
              <w:spacing w:after="0"/>
              <w:rPr>
                <w:sz w:val="24"/>
                <w:szCs w:val="24"/>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(492)</w:t>
            </w:r>
          </w:p>
        </w:tc>
        <w:tc>
          <w:tcPr>
            <w:tcW w:w="100" w:type="dxa"/>
            <w:vAlign w:val="bottom"/>
          </w:tcPr>
          <w:p>
            <w:pPr>
              <w:spacing w:after="0"/>
              <w:rPr>
                <w:sz w:val="24"/>
                <w:szCs w:val="24"/>
                <w:color w:val="auto"/>
              </w:rPr>
            </w:pPr>
          </w:p>
        </w:tc>
        <w:tc>
          <w:tcPr>
            <w:tcW w:w="1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1,069</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67945</wp:posOffset>
            </wp:positionV>
            <wp:extent cx="216027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2160270" cy="8255"/>
                    </a:xfrm>
                    <a:prstGeom prst="rect">
                      <a:avLst/>
                    </a:prstGeom>
                    <a:noFill/>
                  </pic:spPr>
                </pic:pic>
              </a:graphicData>
            </a:graphic>
          </wp:anchor>
        </w:drawing>
      </w:r>
    </w:p>
    <w:p>
      <w:pPr>
        <w:spacing w:after="0" w:line="190" w:lineRule="exact"/>
        <w:rPr>
          <w:sz w:val="20"/>
          <w:szCs w:val="20"/>
          <w:color w:val="auto"/>
        </w:rPr>
      </w:pPr>
    </w:p>
    <w:p>
      <w:pPr>
        <w:ind w:left="320" w:hanging="312"/>
        <w:spacing w:after="0"/>
        <w:tabs>
          <w:tab w:leader="none" w:pos="32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Origination in highly rated countries outside the Region, mostly in Europe and North America, related to transactions carried out in the Region.</w:t>
      </w:r>
    </w:p>
    <w:p>
      <w:pPr>
        <w:spacing w:after="0" w:line="15" w:lineRule="exact"/>
        <w:rPr>
          <w:rFonts w:ascii="Times New Roman" w:cs="Times New Roman" w:eastAsia="Times New Roman" w:hAnsi="Times New Roman"/>
          <w:sz w:val="18"/>
          <w:szCs w:val="18"/>
          <w:color w:val="auto"/>
        </w:rPr>
      </w:pPr>
    </w:p>
    <w:p>
      <w:pPr>
        <w:ind w:left="340" w:right="640" w:hanging="332"/>
        <w:spacing w:after="0" w:line="258" w:lineRule="auto"/>
        <w:tabs>
          <w:tab w:leader="none" w:pos="334"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39" w:lineRule="exact"/>
        <w:rPr>
          <w:sz w:val="20"/>
          <w:szCs w:val="20"/>
          <w:color w:val="auto"/>
        </w:rPr>
      </w:pPr>
    </w:p>
    <w:p>
      <w:pPr>
        <w:ind w:left="11040"/>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2291080</wp:posOffset>
            </wp:positionH>
            <wp:positionV relativeFrom="page">
              <wp:posOffset>1323340</wp:posOffset>
            </wp:positionV>
            <wp:extent cx="2974340" cy="163703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clrChange>
                        <a:clrFrom>
                          <a:srgbClr val="FFFFFF"/>
                        </a:clrFrom>
                        <a:clrTo>
                          <a:srgbClr val="FFFFFF">
                            <a:alpha val="0"/>
                          </a:srgbClr>
                        </a:clrTo>
                      </a:clrChange>
                      <a:extLst>
                        <a:ext uri="{28A0092B-C50C-407E-A947-70E740481C1C}"/>
                      </a:extLst>
                    </a:blip>
                    <a:srcRect/>
                    <a:stretch>
                      <a:fillRect/>
                    </a:stretch>
                  </pic:blipFill>
                  <pic:spPr bwMode="auto">
                    <a:xfrm>
                      <a:off x="0" y="0"/>
                      <a:ext cx="2974340" cy="16370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9920"/>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0100"/>
      </w:cols>
      <w:pgMar w:left="1440" w:top="1440" w:right="3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
      <w:numFmt w:val="bullet"/>
      <w:start w:val="1"/>
    </w:lvl>
  </w:abstractNum>
  <w:abstractNum w:abstractNumId="1">
    <w:nsid w:val="507ED7AB"/>
    <w:multiLevelType w:val="hybridMultilevel"/>
    <w:lvl w:ilvl="0">
      <w:lvlJc w:val="left"/>
      <w:lvlText w:val="•"/>
      <w:numFmt w:val="bullet"/>
      <w:start w:val="1"/>
    </w:lvl>
    <w:lvl w:ilvl="1">
      <w:lvlJc w:val="left"/>
      <w:lvlText w:val="\endash "/>
      <w:numFmt w:val="bullet"/>
      <w:start w:val="1"/>
    </w:lvl>
  </w:abstractNum>
  <w:abstractNum w:abstractNumId="2">
    <w:nsid w:val="2EB141F2"/>
    <w:multiLevelType w:val="hybridMultilevel"/>
    <w:lvl w:ilvl="0">
      <w:lvlJc w:val="left"/>
      <w:lvlText w:val="\endash "/>
      <w:numFmt w:val="bullet"/>
      <w:start w:val="1"/>
    </w:lvl>
  </w:abstractNum>
  <w:abstractNum w:abstractNumId="3">
    <w:nsid w:val="41B71EFB"/>
    <w:multiLevelType w:val="hybridMultilevel"/>
    <w:lvl w:ilvl="0">
      <w:lvlJc w:val="left"/>
      <w:lvlText w:val="(%1)"/>
      <w:numFmt w:val="decimal"/>
      <w:start w:val="1"/>
    </w:lvl>
  </w:abstractNum>
  <w:abstractNum w:abstractNumId="4">
    <w:nsid w:val="79E2A9E3"/>
    <w:multiLevelType w:val="hybridMultilevel"/>
    <w:lvl w:ilvl="0">
      <w:lvlJc w:val="left"/>
      <w:lvlText w:val="(%1)"/>
      <w:numFmt w:val="decimal"/>
      <w:start w:val="888"/>
    </w:lvl>
  </w:abstractNum>
  <w:abstractNum w:abstractNumId="5">
    <w:nsid w:val="7545E146"/>
    <w:multiLevelType w:val="hybridMultilevel"/>
    <w:lvl w:ilvl="0">
      <w:lvlJc w:val="left"/>
      <w:lvlText w:val="(%1)"/>
      <w:numFmt w:val="decimal"/>
      <w:start w:val="1"/>
    </w:lvl>
  </w:abstractNum>
  <w:abstractNum w:abstractNumId="6">
    <w:nsid w:val="515F007C"/>
    <w:multiLevelType w:val="hybridMultilevel"/>
    <w:lvl w:ilvl="0">
      <w:lvlJc w:val="left"/>
      <w:lvlText w:val="(%1)"/>
      <w:numFmt w:val="decimal"/>
      <w:start w:val="1"/>
    </w:lvl>
  </w:abstractNum>
  <w:abstractNum w:abstractNumId="7">
    <w:nsid w:val="5BD062C2"/>
    <w:multiLevelType w:val="hybridMultilevel"/>
    <w:lvl w:ilvl="0">
      <w:lvlJc w:val="left"/>
      <w:lvlText w:val="(%1)"/>
      <w:numFmt w:val="decimal"/>
      <w:start w:val="1"/>
    </w:lvl>
  </w:abstractNum>
  <w:abstractNum w:abstractNumId="8">
    <w:nsid w:val="12200854"/>
    <w:multiLevelType w:val="hybridMultilevel"/>
    <w:lvl w:ilvl="0">
      <w:lvlJc w:val="left"/>
      <w:lvlText w:val="(%1)"/>
      <w:numFmt w:val="decimal"/>
      <w:start w:val="1"/>
    </w:lvl>
  </w:abstractNum>
  <w:abstractNum w:abstractNumId="9">
    <w:nsid w:val="4DB127F8"/>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jpeg"/><Relationship Id="rId56" Type="http://schemas.openxmlformats.org/officeDocument/2006/relationships/image" Target="media/image4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2022-05-06T17:56:50Z</dcterms:created>
  <dcterms:modified xsi:type="dcterms:W3CDTF">2022-05-06T17:56:50Z</dcterms:modified>
</cp:coreProperties>
</file>